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D" w:rsidRPr="009521F3" w:rsidRDefault="00B8649D" w:rsidP="00B8649D">
      <w:pPr>
        <w:pStyle w:val="ListParagraph"/>
        <w:spacing w:after="0"/>
        <w:ind w:left="0"/>
        <w:jc w:val="center"/>
        <w:rPr>
          <w:b/>
        </w:rPr>
      </w:pPr>
      <w:bookmarkStart w:id="0" w:name="_GoBack"/>
      <w:bookmarkEnd w:id="0"/>
      <w:r w:rsidRPr="009521F3">
        <w:rPr>
          <w:b/>
        </w:rPr>
        <w:t xml:space="preserve">Resolution to clarify </w:t>
      </w:r>
      <w:r>
        <w:rPr>
          <w:b/>
        </w:rPr>
        <w:t xml:space="preserve">recusal </w:t>
      </w:r>
      <w:r w:rsidRPr="009521F3">
        <w:rPr>
          <w:b/>
        </w:rPr>
        <w:t xml:space="preserve">process for </w:t>
      </w:r>
      <w:r>
        <w:rPr>
          <w:b/>
        </w:rPr>
        <w:t>the college professional ethics committees</w:t>
      </w:r>
      <w:r w:rsidRPr="009521F3">
        <w:rPr>
          <w:b/>
        </w:rPr>
        <w:t>.</w:t>
      </w:r>
    </w:p>
    <w:p w:rsidR="00B8649D" w:rsidRPr="009521F3" w:rsidRDefault="00B8649D" w:rsidP="00B8649D">
      <w:pPr>
        <w:spacing w:after="0"/>
        <w:ind w:left="720"/>
        <w:jc w:val="center"/>
      </w:pPr>
      <w:r w:rsidRPr="009521F3">
        <w:t>Professional Relations Committee</w:t>
      </w:r>
    </w:p>
    <w:p w:rsidR="00B8649D" w:rsidRPr="009521F3" w:rsidRDefault="00B8649D" w:rsidP="00B8649D">
      <w:pPr>
        <w:spacing w:after="0"/>
        <w:ind w:left="720"/>
        <w:jc w:val="center"/>
      </w:pPr>
      <w:r w:rsidRPr="009521F3">
        <w:t>Faculty Senate</w:t>
      </w:r>
    </w:p>
    <w:p w:rsidR="00B8649D" w:rsidRDefault="008D6F97" w:rsidP="00B8649D">
      <w:pPr>
        <w:spacing w:after="0"/>
        <w:ind w:left="720"/>
        <w:jc w:val="center"/>
      </w:pPr>
      <w:r>
        <w:t>Feb 4</w:t>
      </w:r>
      <w:r w:rsidR="00B8649D">
        <w:t>, 201</w:t>
      </w:r>
      <w:r>
        <w:t>9</w:t>
      </w:r>
      <w:r w:rsidR="00B8649D">
        <w:t xml:space="preserve"> – </w:t>
      </w:r>
      <w:r w:rsidR="007318CB">
        <w:t xml:space="preserve"> passed</w:t>
      </w:r>
    </w:p>
    <w:p w:rsidR="00B8649D" w:rsidRPr="009521F3" w:rsidRDefault="00B8649D" w:rsidP="00B8649D">
      <w:pPr>
        <w:spacing w:after="0"/>
        <w:ind w:left="720"/>
        <w:jc w:val="center"/>
      </w:pPr>
    </w:p>
    <w:p w:rsidR="00B8649D" w:rsidRPr="00EA7343" w:rsidRDefault="00B8649D" w:rsidP="00B8649D">
      <w:pPr>
        <w:pStyle w:val="ListParagraph"/>
        <w:spacing w:after="0"/>
        <w:ind w:left="0"/>
        <w:rPr>
          <w:b/>
          <w:color w:val="FF0000"/>
        </w:rPr>
      </w:pPr>
    </w:p>
    <w:p w:rsidR="00B8649D" w:rsidRPr="008E3A6C" w:rsidRDefault="00B8649D" w:rsidP="00B8649D">
      <w:pPr>
        <w:spacing w:after="0"/>
        <w:rPr>
          <w:rFonts w:cs="Times New Roman"/>
          <w:i/>
          <w:szCs w:val="24"/>
        </w:rPr>
      </w:pPr>
      <w:bookmarkStart w:id="1" w:name="SectionI.A"/>
      <w:bookmarkStart w:id="2" w:name="I_Academic"/>
      <w:bookmarkStart w:id="3" w:name="Professional_Ethics"/>
      <w:bookmarkStart w:id="4" w:name="Academic_Freedom"/>
      <w:bookmarkStart w:id="5" w:name="Academic_Tenure"/>
      <w:bookmarkStart w:id="6" w:name="CP_JUMP_121332"/>
      <w:bookmarkStart w:id="7" w:name="SectionI.B"/>
      <w:bookmarkStart w:id="8" w:name="CP_JUMP_121528"/>
      <w:bookmarkStart w:id="9" w:name="SectionI.C"/>
      <w:bookmarkStart w:id="10" w:name="CP_JUMP_121531"/>
      <w:bookmarkStart w:id="11" w:name="SectionI.D"/>
      <w:bookmarkStart w:id="12" w:name="SectionIIA"/>
      <w:bookmarkStart w:id="13" w:name="II-A"/>
      <w:bookmarkStart w:id="14" w:name="II-B"/>
      <w:bookmarkStart w:id="15" w:name="SectionIIB"/>
      <w:bookmarkStart w:id="16" w:name="II-C"/>
      <w:bookmarkStart w:id="17" w:name="CP_JUMP_121672"/>
      <w:bookmarkStart w:id="18" w:name="SectionIIC"/>
      <w:bookmarkStart w:id="19" w:name="#II-C-6"/>
      <w:bookmarkStart w:id="20" w:name="II-C-7"/>
      <w:bookmarkStart w:id="21" w:name="II-D-1-c"/>
      <w:bookmarkStart w:id="22" w:name="II-D-2-b"/>
      <w:bookmarkStart w:id="23" w:name="II-D-2-e"/>
      <w:bookmarkStart w:id="24" w:name="ii"/>
      <w:bookmarkStart w:id="25" w:name="#tenureloss"/>
      <w:bookmarkStart w:id="26" w:name="CP_JUMP_121971"/>
      <w:bookmarkStart w:id="27" w:name="SectionIIE"/>
      <w:bookmarkStart w:id="28" w:name="II-E"/>
      <w:bookmarkStart w:id="29" w:name="#II-E-2"/>
      <w:bookmarkStart w:id="30" w:name="CP_JUMP_122039"/>
      <w:bookmarkStart w:id="31" w:name="SectionIIF"/>
      <w:bookmarkStart w:id="32" w:name="CP_JUMP_122041"/>
      <w:bookmarkStart w:id="33" w:name="SectionIIG"/>
      <w:bookmarkStart w:id="34" w:name="CP_JUMP_122043"/>
      <w:bookmarkStart w:id="35" w:name="SectionIIH"/>
      <w:bookmarkStart w:id="36" w:name="II-H"/>
      <w:bookmarkStart w:id="37" w:name="CP_JUMP_122053"/>
      <w:bookmarkStart w:id="38" w:name="SectionIII"/>
      <w:bookmarkStart w:id="39" w:name="II-I-2"/>
      <w:bookmarkStart w:id="40" w:name="II-J"/>
      <w:bookmarkStart w:id="41" w:name="CP_JUMP_122072"/>
      <w:bookmarkStart w:id="42" w:name="SectionIIK"/>
      <w:bookmarkStart w:id="43" w:name="II-K"/>
      <w:bookmarkStart w:id="44" w:name="CP_JUMP_122073"/>
      <w:bookmarkStart w:id="45" w:name="SectionIIL"/>
      <w:bookmarkStart w:id="46" w:name="II-L"/>
      <w:bookmarkStart w:id="47" w:name="CP_JUMP_122078"/>
      <w:bookmarkStart w:id="48" w:name="SectionIIM"/>
      <w:bookmarkStart w:id="49" w:name="II-M"/>
      <w:bookmarkStart w:id="50" w:name="II-N"/>
      <w:bookmarkStart w:id="51" w:name="CP_JUMP_122084"/>
      <w:bookmarkStart w:id="52" w:name="SectionIIO"/>
      <w:bookmarkStart w:id="53" w:name="II-O"/>
      <w:bookmarkStart w:id="54" w:name="CP_JUMP_122086"/>
      <w:bookmarkStart w:id="55" w:name="SectionIIP"/>
      <w:bookmarkStart w:id="56" w:name="II-P"/>
      <w:bookmarkStart w:id="57" w:name="CP_JUMP_122087"/>
      <w:bookmarkStart w:id="58" w:name="SectionIIQ"/>
      <w:bookmarkStart w:id="59" w:name="CP_JUMP_122089"/>
      <w:bookmarkStart w:id="60" w:name="SectionII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B8649D" w:rsidRPr="00CE32AB" w:rsidRDefault="00B8649D" w:rsidP="00B8649D">
      <w:pPr>
        <w:pStyle w:val="ListParagraph"/>
        <w:spacing w:after="0"/>
        <w:ind w:left="90"/>
        <w:rPr>
          <w:rFonts w:cs="Times New Roman"/>
          <w:i/>
          <w:szCs w:val="24"/>
        </w:rPr>
      </w:pPr>
      <w:r w:rsidRPr="00CE32AB">
        <w:rPr>
          <w:rFonts w:cs="Times New Roman"/>
          <w:b/>
          <w:i/>
          <w:szCs w:val="24"/>
        </w:rPr>
        <w:t>Whereas</w:t>
      </w:r>
      <w:r w:rsidRPr="00CE32AB">
        <w:rPr>
          <w:rFonts w:cs="Times New Roman"/>
          <w:i/>
          <w:szCs w:val="24"/>
        </w:rPr>
        <w:t xml:space="preserve"> the procedure for </w:t>
      </w:r>
      <w:r>
        <w:rPr>
          <w:rFonts w:cs="Times New Roman"/>
          <w:i/>
          <w:szCs w:val="24"/>
        </w:rPr>
        <w:t>recusal from and appointment of replacements to the college professional ethics committees is not clearly stated,</w:t>
      </w:r>
    </w:p>
    <w:p w:rsidR="00B8649D" w:rsidRPr="00CE32AB" w:rsidRDefault="00B8649D" w:rsidP="00B8649D">
      <w:pPr>
        <w:pStyle w:val="ListParagraph"/>
        <w:spacing w:after="0"/>
        <w:ind w:left="90"/>
        <w:rPr>
          <w:rFonts w:cs="Times New Roman"/>
          <w:i/>
          <w:color w:val="FF0000"/>
          <w:szCs w:val="24"/>
        </w:rPr>
      </w:pPr>
    </w:p>
    <w:p w:rsidR="00B8649D" w:rsidRDefault="00B8649D" w:rsidP="00B8649D">
      <w:pPr>
        <w:pStyle w:val="ListParagraph"/>
        <w:spacing w:after="0"/>
        <w:ind w:left="90"/>
        <w:rPr>
          <w:rFonts w:cs="Times New Roman"/>
          <w:i/>
          <w:szCs w:val="24"/>
        </w:rPr>
      </w:pPr>
      <w:r w:rsidRPr="00CE32AB">
        <w:rPr>
          <w:rFonts w:cs="Times New Roman"/>
          <w:b/>
          <w:i/>
          <w:szCs w:val="24"/>
        </w:rPr>
        <w:t>Be it resolved</w:t>
      </w:r>
      <w:r w:rsidRPr="00CE32AB">
        <w:rPr>
          <w:rFonts w:cs="Times New Roman"/>
          <w:i/>
          <w:szCs w:val="24"/>
        </w:rPr>
        <w:t xml:space="preserve"> that the language of the Faculty Handbook be revised to include the following </w:t>
      </w:r>
    </w:p>
    <w:p w:rsidR="00B8649D" w:rsidRDefault="00B8649D" w:rsidP="00B8649D">
      <w:pPr>
        <w:pStyle w:val="ListParagraph"/>
        <w:spacing w:after="0"/>
        <w:ind w:left="90"/>
        <w:rPr>
          <w:rFonts w:cs="Times New Roman"/>
          <w:i/>
          <w:szCs w:val="24"/>
        </w:rPr>
      </w:pPr>
    </w:p>
    <w:p w:rsidR="00B8649D" w:rsidRPr="00037C98" w:rsidRDefault="00B8649D" w:rsidP="00B8649D">
      <w:pPr>
        <w:pStyle w:val="Heading3"/>
      </w:pPr>
      <w:r>
        <w:rPr>
          <w:rFonts w:eastAsia="Calibri"/>
        </w:rPr>
        <w:t xml:space="preserve">IV. L.3 </w:t>
      </w:r>
      <w:r w:rsidRPr="00DD405B">
        <w:rPr>
          <w:rFonts w:eastAsia="Calibri"/>
        </w:rPr>
        <w:t>Establishment of Professional Ethics Committees</w:t>
      </w:r>
    </w:p>
    <w:p w:rsidR="00B8649D" w:rsidRPr="00037C98" w:rsidRDefault="00B8649D" w:rsidP="00B8649D">
      <w:pPr>
        <w:spacing w:after="0" w:line="240" w:lineRule="auto"/>
        <w:ind w:left="1080"/>
        <w:contextualSpacing/>
        <w:rPr>
          <w:rFonts w:ascii="Calibri" w:eastAsia="Calibri" w:hAnsi="Calibri" w:cs="Times New Roman"/>
          <w:b/>
        </w:rPr>
      </w:pPr>
    </w:p>
    <w:p w:rsidR="00B8649D" w:rsidRPr="003D106E" w:rsidRDefault="00B8649D" w:rsidP="00B8649D">
      <w:pPr>
        <w:pStyle w:val="ListParagraph"/>
        <w:numPr>
          <w:ilvl w:val="1"/>
          <w:numId w:val="1"/>
        </w:numPr>
        <w:spacing w:after="0" w:line="240" w:lineRule="auto"/>
        <w:rPr>
          <w:rFonts w:ascii="Calibri" w:eastAsia="Calibri" w:hAnsi="Calibri" w:cs="Times New Roman"/>
          <w:b/>
        </w:rPr>
      </w:pPr>
      <w:r w:rsidRPr="003D106E">
        <w:rPr>
          <w:rFonts w:ascii="Calibri" w:eastAsia="Calibri" w:hAnsi="Calibri" w:cs="Times New Roman"/>
          <w:b/>
        </w:rPr>
        <w:t>College/School Professional Ethics Committee</w:t>
      </w:r>
      <w:r w:rsidRPr="003D106E">
        <w:rPr>
          <w:rFonts w:ascii="Calibri" w:eastAsia="Calibri" w:hAnsi="Calibri" w:cs="Times New Roman"/>
          <w:b/>
          <w:vertAlign w:val="superscript"/>
        </w:rPr>
        <w:t xml:space="preserve">[1] </w:t>
      </w:r>
    </w:p>
    <w:p w:rsidR="00B8649D" w:rsidRDefault="00B8649D" w:rsidP="00B8649D">
      <w:pPr>
        <w:pStyle w:val="ListParagraph"/>
        <w:spacing w:after="0" w:line="240" w:lineRule="auto"/>
        <w:ind w:left="1440"/>
        <w:rPr>
          <w:rFonts w:ascii="Calibri" w:eastAsia="Calibri" w:hAnsi="Calibri" w:cs="Times New Roman"/>
        </w:rPr>
      </w:pPr>
    </w:p>
    <w:p w:rsidR="00D5515F" w:rsidRPr="0027350D" w:rsidRDefault="00D5515F" w:rsidP="00D5515F">
      <w:pPr>
        <w:pStyle w:val="ListParagraph"/>
        <w:spacing w:after="0" w:line="240" w:lineRule="auto"/>
        <w:ind w:left="1440"/>
        <w:rPr>
          <w:rFonts w:ascii="Calibri" w:eastAsia="Calibri" w:hAnsi="Calibri" w:cs="Times New Roman"/>
        </w:rPr>
      </w:pPr>
      <w:r w:rsidRPr="0027350D">
        <w:rPr>
          <w:rFonts w:ascii="Calibri" w:eastAsia="Calibri" w:hAnsi="Calibri" w:cs="Times New Roman"/>
        </w:rPr>
        <w:t>Each college, regional campus, and the Voinovich School will have a standing Professional Ethics Committee consisting of six faculty members in the college, regional campus, or the Voinovich School unless it is necessary to supplement the Committee by faculty from other colleges or regional campuses. At least four of the six faculty must be tenured Group I faculty. The other two may be selected from among the untenured Group I or the Group II faculty. Three of the six members of the college Professional Ethics Committee are selected by the faculty senators from that college or regional campus, while the remaining three are appointed by the dean of the college, regional campus, and the Voinovich School</w:t>
      </w:r>
      <w:r w:rsidR="00DA7F87" w:rsidRPr="00DA7F87">
        <w:rPr>
          <w:rFonts w:ascii="Calibri" w:eastAsia="Calibri" w:hAnsi="Calibri" w:cs="Times New Roman"/>
          <w:vertAlign w:val="superscript"/>
        </w:rPr>
        <w:t>[</w:t>
      </w:r>
      <w:r w:rsidRPr="0027350D">
        <w:rPr>
          <w:rFonts w:ascii="Calibri" w:eastAsia="Calibri" w:hAnsi="Calibri" w:cs="Times New Roman"/>
          <w:b/>
          <w:vertAlign w:val="superscript"/>
        </w:rPr>
        <w:t>2]</w:t>
      </w:r>
      <w:r w:rsidRPr="0027350D">
        <w:rPr>
          <w:rFonts w:ascii="Calibri" w:eastAsia="Calibri" w:hAnsi="Calibri" w:cs="Times New Roman"/>
        </w:rPr>
        <w:t>. The chair of the committee will be appointed by the dean from among the Group I faculty on the committee. The term length for members on the college Professional Ethics Committee will be three years, and service is restricted to two successive terms. Initial appointments will be staggered so that each year the senators from the college or regional campus and the dean will each need to select a new committee member. Each college Professional Ethics Committee will be provided access to appropriate university resources to assist it in carrying out its investigations.</w:t>
      </w:r>
    </w:p>
    <w:p w:rsidR="00B8649D" w:rsidRDefault="00B8649D" w:rsidP="00B8649D">
      <w:pPr>
        <w:pStyle w:val="ListParagraph"/>
        <w:spacing w:after="0" w:line="240" w:lineRule="auto"/>
        <w:ind w:left="1440"/>
        <w:rPr>
          <w:rFonts w:ascii="Calibri" w:eastAsia="Calibri" w:hAnsi="Calibri" w:cs="Times New Roman"/>
        </w:rPr>
      </w:pPr>
    </w:p>
    <w:p w:rsidR="00B8649D" w:rsidRDefault="00B8649D" w:rsidP="00B8649D">
      <w:pPr>
        <w:pStyle w:val="ListParagraph"/>
        <w:spacing w:after="0" w:line="240" w:lineRule="auto"/>
        <w:ind w:left="1440"/>
        <w:rPr>
          <w:rFonts w:ascii="Calibri" w:eastAsia="Calibri" w:hAnsi="Calibri" w:cs="Times New Roman"/>
        </w:rPr>
      </w:pPr>
    </w:p>
    <w:p w:rsidR="00B8649D" w:rsidRPr="00947F3F" w:rsidRDefault="00B8649D" w:rsidP="00B8649D">
      <w:pPr>
        <w:pStyle w:val="ListParagraph"/>
        <w:spacing w:after="0" w:line="240" w:lineRule="auto"/>
        <w:ind w:left="1440"/>
        <w:rPr>
          <w:rFonts w:ascii="Calibri" w:eastAsia="Calibri" w:hAnsi="Calibri" w:cs="Times New Roman"/>
          <w:u w:val="single"/>
        </w:rPr>
      </w:pPr>
      <w:r w:rsidRPr="00947F3F">
        <w:rPr>
          <w:rFonts w:cs="Times New Roman"/>
          <w:b/>
          <w:szCs w:val="24"/>
          <w:u w:val="single"/>
        </w:rPr>
        <w:t>Recusals.</w:t>
      </w:r>
      <w:r w:rsidRPr="00947F3F">
        <w:rPr>
          <w:rFonts w:cs="Times New Roman"/>
          <w:szCs w:val="24"/>
          <w:u w:val="single"/>
        </w:rPr>
        <w:t xml:space="preserve">  When an allegation of a violation of professional ethics is received by the chair of the college Professional Ethics Committee, the committee chair will inform the members of the committee of the pending case.  </w:t>
      </w:r>
      <w:r w:rsidR="00BF338D">
        <w:rPr>
          <w:rFonts w:cs="Times New Roman"/>
          <w:szCs w:val="24"/>
          <w:u w:val="single"/>
        </w:rPr>
        <w:t xml:space="preserve">Committee members </w:t>
      </w:r>
      <w:r w:rsidR="008D6F97">
        <w:rPr>
          <w:rFonts w:cs="Times New Roman"/>
          <w:szCs w:val="24"/>
          <w:u w:val="single"/>
        </w:rPr>
        <w:t>who have a</w:t>
      </w:r>
      <w:r w:rsidRPr="00947F3F">
        <w:rPr>
          <w:rFonts w:ascii="Calibri" w:eastAsia="Calibri" w:hAnsi="Calibri" w:cs="Times New Roman"/>
          <w:u w:val="single"/>
        </w:rPr>
        <w:t xml:space="preserve"> close personal or professional relationship with th</w:t>
      </w:r>
      <w:r w:rsidR="00BF338D">
        <w:rPr>
          <w:rFonts w:ascii="Calibri" w:eastAsia="Calibri" w:hAnsi="Calibri" w:cs="Times New Roman"/>
          <w:u w:val="single"/>
        </w:rPr>
        <w:t xml:space="preserve">e </w:t>
      </w:r>
      <w:r w:rsidRPr="00947F3F">
        <w:rPr>
          <w:rFonts w:ascii="Calibri" w:eastAsia="Calibri" w:hAnsi="Calibri" w:cs="Times New Roman"/>
          <w:u w:val="single"/>
        </w:rPr>
        <w:t>accused or complainant</w:t>
      </w:r>
      <w:r w:rsidR="00BF338D">
        <w:rPr>
          <w:rFonts w:ascii="Calibri" w:eastAsia="Calibri" w:hAnsi="Calibri" w:cs="Times New Roman"/>
          <w:u w:val="single"/>
        </w:rPr>
        <w:t>, will recuse themselves from the case</w:t>
      </w:r>
      <w:r w:rsidRPr="00947F3F">
        <w:rPr>
          <w:rFonts w:cs="Times New Roman"/>
          <w:szCs w:val="24"/>
          <w:u w:val="single"/>
        </w:rPr>
        <w:t xml:space="preserve">.  The dean or the chair of Faculty Senate shall then fill any vacancy </w:t>
      </w:r>
      <w:r w:rsidR="00BF338D">
        <w:rPr>
          <w:rFonts w:cs="Times New Roman"/>
          <w:szCs w:val="24"/>
          <w:u w:val="single"/>
        </w:rPr>
        <w:t>based</w:t>
      </w:r>
      <w:r w:rsidRPr="00947F3F">
        <w:rPr>
          <w:rFonts w:cs="Times New Roman"/>
          <w:szCs w:val="24"/>
          <w:u w:val="single"/>
        </w:rPr>
        <w:t xml:space="preserve"> on the selection criteria (chosen by faculty senators or by the dean) and faculty classification of the person recused.  </w:t>
      </w:r>
      <w:r w:rsidR="00BF338D">
        <w:rPr>
          <w:rFonts w:cs="Times New Roman"/>
          <w:szCs w:val="24"/>
          <w:u w:val="single"/>
        </w:rPr>
        <w:t xml:space="preserve">The dean or senators may draw from faculty of similar classification from within the </w:t>
      </w:r>
      <w:r w:rsidR="00BF338D">
        <w:rPr>
          <w:rFonts w:cs="Times New Roman"/>
          <w:szCs w:val="24"/>
          <w:u w:val="single"/>
        </w:rPr>
        <w:lastRenderedPageBreak/>
        <w:t>college, including those who have previously served on PEC, and if necessary may appoint faculty from outside the college.</w:t>
      </w:r>
    </w:p>
    <w:p w:rsidR="00B8649D" w:rsidRPr="00037C98" w:rsidRDefault="00B8649D" w:rsidP="00B8649D">
      <w:pPr>
        <w:spacing w:after="0" w:line="240" w:lineRule="auto"/>
        <w:ind w:left="1800"/>
        <w:contextualSpacing/>
        <w:rPr>
          <w:rFonts w:ascii="Calibri" w:eastAsia="Calibri" w:hAnsi="Calibri" w:cs="Times New Roman"/>
        </w:rPr>
      </w:pPr>
    </w:p>
    <w:p w:rsidR="00B8649D" w:rsidRDefault="00B8649D" w:rsidP="00B8649D">
      <w:pPr>
        <w:rPr>
          <w:rFonts w:asciiTheme="majorHAnsi" w:eastAsiaTheme="majorEastAsia" w:hAnsiTheme="majorHAnsi" w:cstheme="majorBidi"/>
          <w:b/>
          <w:szCs w:val="28"/>
        </w:rPr>
      </w:pPr>
    </w:p>
    <w:sectPr w:rsidR="00B86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53171"/>
    <w:multiLevelType w:val="multilevel"/>
    <w:tmpl w:val="322ACE86"/>
    <w:lvl w:ilvl="0">
      <w:start w:val="1"/>
      <w:numFmt w:val="decimal"/>
      <w:lvlText w:val="%1."/>
      <w:lvlJc w:val="left"/>
      <w:pPr>
        <w:ind w:left="1080" w:hanging="360"/>
      </w:pPr>
      <w:rPr>
        <w:rFonts w:ascii="Calibri" w:hAnsi="Calibri" w:hint="default"/>
        <w:b/>
        <w:i w:val="0"/>
        <w:sz w:val="22"/>
      </w:rPr>
    </w:lvl>
    <w:lvl w:ilvl="1">
      <w:start w:val="1"/>
      <w:numFmt w:val="lowerLetter"/>
      <w:lvlText w:val="%2."/>
      <w:lvlJc w:val="left"/>
      <w:pPr>
        <w:ind w:left="1440" w:hanging="360"/>
      </w:pPr>
      <w:rPr>
        <w:rFonts w:ascii="Calibri" w:hAnsi="Calibri" w:hint="default"/>
        <w:b/>
        <w:i w:val="0"/>
        <w:sz w:val="22"/>
      </w:rPr>
    </w:lvl>
    <w:lvl w:ilvl="2">
      <w:start w:val="1"/>
      <w:numFmt w:val="lowerRoman"/>
      <w:lvlText w:val="%3."/>
      <w:lvlJc w:val="right"/>
      <w:pPr>
        <w:ind w:left="1800" w:hanging="360"/>
      </w:pPr>
      <w:rPr>
        <w:rFonts w:hint="default"/>
        <w:b/>
        <w:i w:val="0"/>
        <w:sz w:val="22"/>
      </w:rPr>
    </w:lvl>
    <w:lvl w:ilvl="3">
      <w:start w:val="1"/>
      <w:numFmt w:val="decimal"/>
      <w:lvlText w:val="%4."/>
      <w:lvlJc w:val="left"/>
      <w:pPr>
        <w:ind w:left="2160" w:hanging="360"/>
      </w:pPr>
      <w:rPr>
        <w:rFonts w:ascii="Calibri" w:hAnsi="Calibri" w:hint="default"/>
        <w:b/>
        <w:i w:val="0"/>
        <w:sz w:val="22"/>
      </w:rPr>
    </w:lvl>
    <w:lvl w:ilvl="4">
      <w:start w:val="1"/>
      <w:numFmt w:val="lowerLetter"/>
      <w:lvlText w:val="%5."/>
      <w:lvlJc w:val="left"/>
      <w:pPr>
        <w:ind w:left="2520" w:hanging="360"/>
      </w:pPr>
      <w:rPr>
        <w:rFonts w:ascii="Calibri" w:hAnsi="Calibri" w:hint="default"/>
        <w:b/>
        <w:i w:val="0"/>
        <w:sz w:val="22"/>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9D"/>
    <w:rsid w:val="00013F9D"/>
    <w:rsid w:val="0003490B"/>
    <w:rsid w:val="003A52BB"/>
    <w:rsid w:val="007318CB"/>
    <w:rsid w:val="008D6F97"/>
    <w:rsid w:val="0094041E"/>
    <w:rsid w:val="00B8649D"/>
    <w:rsid w:val="00BF338D"/>
    <w:rsid w:val="00CC306A"/>
    <w:rsid w:val="00D5515F"/>
    <w:rsid w:val="00DA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81A14-1F39-43CE-89EF-9F214D55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9D"/>
    <w:rPr>
      <w:rFonts w:eastAsiaTheme="minorEastAsia"/>
    </w:rPr>
  </w:style>
  <w:style w:type="paragraph" w:styleId="Heading3">
    <w:name w:val="heading 3"/>
    <w:basedOn w:val="Normal"/>
    <w:next w:val="Normal"/>
    <w:link w:val="Heading3Char"/>
    <w:uiPriority w:val="9"/>
    <w:unhideWhenUsed/>
    <w:qFormat/>
    <w:rsid w:val="00B8649D"/>
    <w:pPr>
      <w:keepNext/>
      <w:keepLines/>
      <w:spacing w:after="0" w:line="240" w:lineRule="auto"/>
      <w:outlineLvl w:val="2"/>
    </w:pPr>
    <w:rPr>
      <w:rFonts w:asciiTheme="majorHAnsi" w:eastAsiaTheme="majorEastAsia" w:hAnsiTheme="majorHAnsi" w:cstheme="majorBid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49D"/>
    <w:rPr>
      <w:rFonts w:asciiTheme="majorHAnsi" w:eastAsiaTheme="majorEastAsia" w:hAnsiTheme="majorHAnsi" w:cstheme="majorBidi"/>
      <w:b/>
      <w:szCs w:val="28"/>
    </w:rPr>
  </w:style>
  <w:style w:type="paragraph" w:styleId="ListParagraph">
    <w:name w:val="List Paragraph"/>
    <w:basedOn w:val="Normal"/>
    <w:uiPriority w:val="34"/>
    <w:qFormat/>
    <w:rsid w:val="00B8649D"/>
    <w:pPr>
      <w:ind w:left="720"/>
      <w:contextualSpacing/>
    </w:pPr>
  </w:style>
  <w:style w:type="paragraph" w:styleId="BalloonText">
    <w:name w:val="Balloon Text"/>
    <w:basedOn w:val="Normal"/>
    <w:link w:val="BalloonTextChar"/>
    <w:uiPriority w:val="99"/>
    <w:semiHidden/>
    <w:unhideWhenUsed/>
    <w:rsid w:val="00BF3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38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Sarah</dc:creator>
  <cp:keywords/>
  <dc:description/>
  <cp:lastModifiedBy>Brock, Angela</cp:lastModifiedBy>
  <cp:revision>2</cp:revision>
  <dcterms:created xsi:type="dcterms:W3CDTF">2019-02-06T15:49:00Z</dcterms:created>
  <dcterms:modified xsi:type="dcterms:W3CDTF">2019-02-06T15:49:00Z</dcterms:modified>
</cp:coreProperties>
</file>