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93AF" w14:textId="77777777" w:rsidR="00046654" w:rsidRPr="00577C30" w:rsidRDefault="00DE6508" w:rsidP="00577C30">
      <w:pPr>
        <w:pStyle w:val="Heading1"/>
        <w:ind w:left="0" w:firstLine="0"/>
        <w:jc w:val="center"/>
      </w:pPr>
      <w:r w:rsidRPr="00577C30">
        <w:t>Self-Study</w:t>
      </w:r>
      <w:r w:rsidRPr="00577C30">
        <w:rPr>
          <w:spacing w:val="-10"/>
        </w:rPr>
        <w:t xml:space="preserve"> </w:t>
      </w:r>
      <w:r w:rsidRPr="00577C30">
        <w:t>Requirements</w:t>
      </w:r>
      <w:r w:rsidRPr="00577C30">
        <w:rPr>
          <w:spacing w:val="-7"/>
        </w:rPr>
        <w:t xml:space="preserve"> </w:t>
      </w:r>
      <w:r w:rsidRPr="00577C30">
        <w:t>for</w:t>
      </w:r>
      <w:r w:rsidRPr="00577C30">
        <w:rPr>
          <w:spacing w:val="-7"/>
        </w:rPr>
        <w:t xml:space="preserve"> </w:t>
      </w:r>
      <w:r w:rsidRPr="00577C30">
        <w:t>Academic</w:t>
      </w:r>
      <w:r w:rsidRPr="00577C30">
        <w:rPr>
          <w:spacing w:val="-7"/>
        </w:rPr>
        <w:t xml:space="preserve"> </w:t>
      </w:r>
      <w:r w:rsidRPr="00577C30">
        <w:t>Program</w:t>
      </w:r>
      <w:r w:rsidRPr="00577C30">
        <w:rPr>
          <w:spacing w:val="-8"/>
        </w:rPr>
        <w:t xml:space="preserve"> </w:t>
      </w:r>
      <w:r w:rsidRPr="00577C30">
        <w:rPr>
          <w:spacing w:val="-2"/>
        </w:rPr>
        <w:t>Review</w:t>
      </w:r>
    </w:p>
    <w:p w14:paraId="157D7B3E" w14:textId="78B0EC6A" w:rsidR="00046654" w:rsidRPr="00577C30" w:rsidRDefault="00DE6508" w:rsidP="00577C30">
      <w:pPr>
        <w:pStyle w:val="BodyText"/>
        <w:ind w:left="0"/>
        <w:jc w:val="center"/>
      </w:pPr>
      <w:r w:rsidRPr="00577C30">
        <w:t>(</w:t>
      </w:r>
      <w:r w:rsidR="00102A66" w:rsidRPr="00577C30">
        <w:t>Draft March 2023</w:t>
      </w:r>
      <w:r w:rsidRPr="00577C30">
        <w:rPr>
          <w:spacing w:val="-2"/>
        </w:rPr>
        <w:t>)</w:t>
      </w:r>
    </w:p>
    <w:p w14:paraId="45A5668D" w14:textId="77777777" w:rsidR="00F614D9" w:rsidRPr="00577C30" w:rsidRDefault="00F614D9" w:rsidP="00577C30">
      <w:pPr>
        <w:pStyle w:val="BodyText"/>
        <w:ind w:left="0"/>
        <w:jc w:val="both"/>
        <w:rPr>
          <w:sz w:val="22"/>
          <w:szCs w:val="22"/>
        </w:rPr>
      </w:pPr>
    </w:p>
    <w:p w14:paraId="22BBC672" w14:textId="0F38F6DA" w:rsidR="007E5C1C" w:rsidRPr="00577C30" w:rsidRDefault="00DE6508" w:rsidP="00577C30">
      <w:pPr>
        <w:pStyle w:val="BodyText"/>
        <w:ind w:left="0"/>
        <w:jc w:val="both"/>
        <w:rPr>
          <w:spacing w:val="-4"/>
          <w:sz w:val="22"/>
          <w:szCs w:val="22"/>
        </w:rPr>
      </w:pPr>
      <w:r w:rsidRPr="00577C30">
        <w:rPr>
          <w:sz w:val="22"/>
          <w:szCs w:val="22"/>
        </w:rPr>
        <w:t>The</w:t>
      </w:r>
      <w:r w:rsidRPr="00577C30">
        <w:rPr>
          <w:spacing w:val="-3"/>
          <w:sz w:val="22"/>
          <w:szCs w:val="22"/>
        </w:rPr>
        <w:t xml:space="preserve"> </w:t>
      </w:r>
      <w:r w:rsidRPr="00577C30">
        <w:rPr>
          <w:sz w:val="22"/>
          <w:szCs w:val="22"/>
        </w:rPr>
        <w:t>UCC</w:t>
      </w:r>
      <w:r w:rsidRPr="00577C30">
        <w:rPr>
          <w:spacing w:val="-3"/>
          <w:sz w:val="22"/>
          <w:szCs w:val="22"/>
        </w:rPr>
        <w:t xml:space="preserve"> </w:t>
      </w:r>
      <w:r w:rsidRPr="00577C30">
        <w:rPr>
          <w:sz w:val="22"/>
          <w:szCs w:val="22"/>
        </w:rPr>
        <w:t>Program</w:t>
      </w:r>
      <w:r w:rsidRPr="00577C30">
        <w:rPr>
          <w:spacing w:val="-4"/>
          <w:sz w:val="22"/>
          <w:szCs w:val="22"/>
        </w:rPr>
        <w:t xml:space="preserve"> </w:t>
      </w:r>
      <w:r w:rsidRPr="00577C30">
        <w:rPr>
          <w:sz w:val="22"/>
          <w:szCs w:val="22"/>
        </w:rPr>
        <w:t>Review</w:t>
      </w:r>
      <w:r w:rsidRPr="00577C30">
        <w:rPr>
          <w:spacing w:val="-4"/>
          <w:sz w:val="22"/>
          <w:szCs w:val="22"/>
        </w:rPr>
        <w:t xml:space="preserve"> </w:t>
      </w:r>
      <w:r w:rsidRPr="00577C30">
        <w:rPr>
          <w:sz w:val="22"/>
          <w:szCs w:val="22"/>
        </w:rPr>
        <w:t>process</w:t>
      </w:r>
      <w:r w:rsidRPr="00577C30">
        <w:rPr>
          <w:spacing w:val="-4"/>
          <w:sz w:val="22"/>
          <w:szCs w:val="22"/>
        </w:rPr>
        <w:t xml:space="preserve"> </w:t>
      </w:r>
      <w:r w:rsidRPr="00577C30">
        <w:rPr>
          <w:sz w:val="22"/>
          <w:szCs w:val="22"/>
        </w:rPr>
        <w:t>serves</w:t>
      </w:r>
      <w:r w:rsidRPr="00577C30">
        <w:rPr>
          <w:spacing w:val="-3"/>
          <w:sz w:val="22"/>
          <w:szCs w:val="22"/>
        </w:rPr>
        <w:t xml:space="preserve"> </w:t>
      </w:r>
      <w:r w:rsidR="007E5C1C" w:rsidRPr="00577C30">
        <w:rPr>
          <w:sz w:val="22"/>
          <w:szCs w:val="22"/>
        </w:rPr>
        <w:t>three</w:t>
      </w:r>
      <w:r w:rsidR="007E5C1C" w:rsidRPr="00577C30">
        <w:rPr>
          <w:spacing w:val="-3"/>
          <w:sz w:val="22"/>
          <w:szCs w:val="22"/>
        </w:rPr>
        <w:t xml:space="preserve"> </w:t>
      </w:r>
      <w:r w:rsidRPr="00577C30">
        <w:rPr>
          <w:sz w:val="22"/>
          <w:szCs w:val="22"/>
        </w:rPr>
        <w:t>intertwined</w:t>
      </w:r>
      <w:r w:rsidRPr="00577C30">
        <w:rPr>
          <w:spacing w:val="-3"/>
          <w:sz w:val="22"/>
          <w:szCs w:val="22"/>
        </w:rPr>
        <w:t xml:space="preserve"> </w:t>
      </w:r>
      <w:r w:rsidRPr="00577C30">
        <w:rPr>
          <w:sz w:val="22"/>
          <w:szCs w:val="22"/>
        </w:rPr>
        <w:t>purposes:</w:t>
      </w:r>
      <w:r w:rsidRPr="00577C30">
        <w:rPr>
          <w:spacing w:val="-4"/>
          <w:sz w:val="22"/>
          <w:szCs w:val="22"/>
        </w:rPr>
        <w:t xml:space="preserve"> </w:t>
      </w:r>
    </w:p>
    <w:p w14:paraId="488D81C4" w14:textId="6A8F04A5" w:rsidR="007E5C1C" w:rsidRPr="00577C30" w:rsidRDefault="007E5C1C" w:rsidP="00577C30">
      <w:pPr>
        <w:pStyle w:val="BodyText"/>
        <w:numPr>
          <w:ilvl w:val="0"/>
          <w:numId w:val="15"/>
        </w:numPr>
        <w:jc w:val="both"/>
        <w:rPr>
          <w:sz w:val="22"/>
          <w:szCs w:val="22"/>
        </w:rPr>
      </w:pPr>
      <w:r w:rsidRPr="00577C30">
        <w:rPr>
          <w:sz w:val="22"/>
          <w:szCs w:val="22"/>
        </w:rPr>
        <w:t>To determine the curricular viability of a program or program(s),</w:t>
      </w:r>
    </w:p>
    <w:p w14:paraId="3D0F4D82" w14:textId="77777777" w:rsidR="00577C30" w:rsidRPr="00577C30" w:rsidRDefault="007E5C1C" w:rsidP="00577C30">
      <w:pPr>
        <w:pStyle w:val="BodyText"/>
        <w:numPr>
          <w:ilvl w:val="0"/>
          <w:numId w:val="15"/>
        </w:numPr>
        <w:jc w:val="both"/>
        <w:rPr>
          <w:sz w:val="22"/>
          <w:szCs w:val="22"/>
        </w:rPr>
      </w:pPr>
      <w:r w:rsidRPr="00577C30">
        <w:rPr>
          <w:sz w:val="22"/>
          <w:szCs w:val="22"/>
        </w:rPr>
        <w:t>To</w:t>
      </w:r>
      <w:r w:rsidRPr="00577C30">
        <w:rPr>
          <w:spacing w:val="-3"/>
          <w:sz w:val="22"/>
          <w:szCs w:val="22"/>
        </w:rPr>
        <w:t xml:space="preserve"> </w:t>
      </w:r>
      <w:r w:rsidR="00DE6508" w:rsidRPr="00577C30">
        <w:rPr>
          <w:sz w:val="22"/>
          <w:szCs w:val="22"/>
        </w:rPr>
        <w:t>satisfy</w:t>
      </w:r>
      <w:r w:rsidR="00DE6508" w:rsidRPr="00577C30">
        <w:rPr>
          <w:spacing w:val="-3"/>
          <w:sz w:val="22"/>
          <w:szCs w:val="22"/>
        </w:rPr>
        <w:t xml:space="preserve"> </w:t>
      </w:r>
      <w:r w:rsidR="00DE6508" w:rsidRPr="00577C30">
        <w:rPr>
          <w:sz w:val="22"/>
          <w:szCs w:val="22"/>
        </w:rPr>
        <w:t>Ohio</w:t>
      </w:r>
      <w:r w:rsidR="00DE6508" w:rsidRPr="00577C30">
        <w:rPr>
          <w:spacing w:val="-3"/>
          <w:sz w:val="22"/>
          <w:szCs w:val="22"/>
        </w:rPr>
        <w:t xml:space="preserve"> </w:t>
      </w:r>
      <w:r w:rsidR="00DE6508" w:rsidRPr="00577C30">
        <w:rPr>
          <w:sz w:val="22"/>
          <w:szCs w:val="22"/>
        </w:rPr>
        <w:t xml:space="preserve">Department of Higher Education (ODHE) and Higher Learning </w:t>
      </w:r>
    </w:p>
    <w:p w14:paraId="38858402" w14:textId="23F304E3" w:rsidR="007E5C1C" w:rsidRPr="00577C30" w:rsidRDefault="00DE6508" w:rsidP="00577C30">
      <w:pPr>
        <w:pStyle w:val="BodyText"/>
        <w:ind w:left="720"/>
        <w:jc w:val="both"/>
        <w:rPr>
          <w:sz w:val="22"/>
          <w:szCs w:val="22"/>
        </w:rPr>
      </w:pPr>
      <w:r w:rsidRPr="00577C30">
        <w:rPr>
          <w:sz w:val="22"/>
          <w:szCs w:val="22"/>
        </w:rPr>
        <w:t>Commission (HLC) requirements for the accreditation of programs</w:t>
      </w:r>
      <w:r w:rsidR="007E5C1C" w:rsidRPr="00577C30">
        <w:rPr>
          <w:sz w:val="22"/>
          <w:szCs w:val="22"/>
        </w:rPr>
        <w:t>, and</w:t>
      </w:r>
    </w:p>
    <w:p w14:paraId="3D8BDCB1" w14:textId="1B8C252D" w:rsidR="007E5C1C" w:rsidRPr="00577C30" w:rsidRDefault="007E5C1C" w:rsidP="00577C30">
      <w:pPr>
        <w:pStyle w:val="BodyText"/>
        <w:numPr>
          <w:ilvl w:val="0"/>
          <w:numId w:val="15"/>
        </w:numPr>
        <w:jc w:val="both"/>
        <w:rPr>
          <w:sz w:val="22"/>
          <w:szCs w:val="22"/>
        </w:rPr>
      </w:pPr>
      <w:r w:rsidRPr="00577C30">
        <w:rPr>
          <w:sz w:val="22"/>
          <w:szCs w:val="22"/>
        </w:rPr>
        <w:t xml:space="preserve">To </w:t>
      </w:r>
      <w:r w:rsidR="00DE6508" w:rsidRPr="00577C30">
        <w:rPr>
          <w:sz w:val="22"/>
          <w:szCs w:val="22"/>
        </w:rPr>
        <w:t xml:space="preserve">assist academic units in strategic planning. </w:t>
      </w:r>
    </w:p>
    <w:p w14:paraId="0053ECB2" w14:textId="77777777" w:rsidR="007E5C1C" w:rsidRPr="00577C30" w:rsidRDefault="007E5C1C" w:rsidP="00577C30">
      <w:pPr>
        <w:pStyle w:val="BodyText"/>
        <w:ind w:left="0"/>
        <w:jc w:val="both"/>
        <w:rPr>
          <w:sz w:val="22"/>
          <w:szCs w:val="22"/>
        </w:rPr>
      </w:pPr>
    </w:p>
    <w:p w14:paraId="7CD678E5" w14:textId="34831AA8" w:rsidR="00046654" w:rsidRPr="00577C30" w:rsidRDefault="00DE6508" w:rsidP="00577C30">
      <w:pPr>
        <w:pStyle w:val="BodyText"/>
        <w:ind w:left="0"/>
        <w:jc w:val="both"/>
        <w:rPr>
          <w:sz w:val="22"/>
          <w:szCs w:val="22"/>
        </w:rPr>
      </w:pPr>
      <w:r w:rsidRPr="00577C30">
        <w:rPr>
          <w:sz w:val="22"/>
          <w:szCs w:val="22"/>
        </w:rPr>
        <w:t xml:space="preserve">Program </w:t>
      </w:r>
      <w:r w:rsidR="007E5C1C" w:rsidRPr="00577C30">
        <w:rPr>
          <w:sz w:val="22"/>
          <w:szCs w:val="22"/>
        </w:rPr>
        <w:t xml:space="preserve">reviews </w:t>
      </w:r>
      <w:r w:rsidRPr="00577C30">
        <w:rPr>
          <w:sz w:val="22"/>
          <w:szCs w:val="22"/>
        </w:rPr>
        <w:t xml:space="preserve">completed in a timely manner ensure that </w:t>
      </w:r>
      <w:r w:rsidR="007E5C1C" w:rsidRPr="00577C30">
        <w:rPr>
          <w:sz w:val="22"/>
          <w:szCs w:val="22"/>
        </w:rPr>
        <w:t>a</w:t>
      </w:r>
      <w:r w:rsidRPr="00577C30">
        <w:rPr>
          <w:sz w:val="22"/>
          <w:szCs w:val="22"/>
        </w:rPr>
        <w:t xml:space="preserve">) the UCC may determine the viability of a program based on current information, and </w:t>
      </w:r>
      <w:r w:rsidR="007E5C1C" w:rsidRPr="00577C30">
        <w:rPr>
          <w:sz w:val="22"/>
          <w:szCs w:val="22"/>
        </w:rPr>
        <w:t>b</w:t>
      </w:r>
      <w:r w:rsidRPr="00577C30">
        <w:rPr>
          <w:sz w:val="22"/>
          <w:szCs w:val="22"/>
        </w:rPr>
        <w:t xml:space="preserve">) the </w:t>
      </w:r>
      <w:r w:rsidR="007E5C1C" w:rsidRPr="00577C30">
        <w:rPr>
          <w:sz w:val="22"/>
          <w:szCs w:val="22"/>
        </w:rPr>
        <w:t>department</w:t>
      </w:r>
      <w:r w:rsidRPr="00577C30">
        <w:rPr>
          <w:sz w:val="22"/>
          <w:szCs w:val="22"/>
        </w:rPr>
        <w:t xml:space="preserve">, </w:t>
      </w:r>
      <w:r w:rsidR="007E5C1C" w:rsidRPr="00577C30">
        <w:rPr>
          <w:sz w:val="22"/>
          <w:szCs w:val="22"/>
        </w:rPr>
        <w:t>college</w:t>
      </w:r>
      <w:r w:rsidR="00B00D48" w:rsidRPr="00577C30">
        <w:rPr>
          <w:sz w:val="22"/>
          <w:szCs w:val="22"/>
        </w:rPr>
        <w:t>,</w:t>
      </w:r>
      <w:r w:rsidR="007E5C1C" w:rsidRPr="00577C30">
        <w:rPr>
          <w:sz w:val="22"/>
          <w:szCs w:val="22"/>
        </w:rPr>
        <w:t xml:space="preserve"> </w:t>
      </w:r>
      <w:r w:rsidRPr="00577C30">
        <w:rPr>
          <w:sz w:val="22"/>
          <w:szCs w:val="22"/>
        </w:rPr>
        <w:t xml:space="preserve">and </w:t>
      </w:r>
      <w:r w:rsidR="007E5C1C" w:rsidRPr="00577C30">
        <w:rPr>
          <w:sz w:val="22"/>
          <w:szCs w:val="22"/>
        </w:rPr>
        <w:t xml:space="preserve">university </w:t>
      </w:r>
      <w:r w:rsidRPr="00577C30">
        <w:rPr>
          <w:sz w:val="22"/>
          <w:szCs w:val="22"/>
        </w:rPr>
        <w:t xml:space="preserve">have information </w:t>
      </w:r>
      <w:r w:rsidR="007E5C1C" w:rsidRPr="00577C30">
        <w:rPr>
          <w:sz w:val="22"/>
          <w:szCs w:val="22"/>
        </w:rPr>
        <w:t xml:space="preserve">for </w:t>
      </w:r>
      <w:r w:rsidRPr="00577C30">
        <w:rPr>
          <w:sz w:val="22"/>
          <w:szCs w:val="22"/>
        </w:rPr>
        <w:t>planning and making decisions.</w:t>
      </w:r>
    </w:p>
    <w:p w14:paraId="73C6AA84" w14:textId="77777777" w:rsidR="00046654" w:rsidRPr="00577C30" w:rsidRDefault="00046654" w:rsidP="00577C30">
      <w:pPr>
        <w:pStyle w:val="BodyText"/>
        <w:ind w:left="0"/>
        <w:jc w:val="both"/>
        <w:rPr>
          <w:sz w:val="22"/>
          <w:szCs w:val="22"/>
        </w:rPr>
      </w:pPr>
    </w:p>
    <w:p w14:paraId="08423DC7" w14:textId="313110BD" w:rsidR="007E5C1C" w:rsidRPr="00577C30" w:rsidRDefault="007E5C1C" w:rsidP="00577C30">
      <w:pPr>
        <w:pStyle w:val="BodyText"/>
        <w:ind w:left="0"/>
        <w:jc w:val="both"/>
        <w:rPr>
          <w:b/>
          <w:bCs/>
        </w:rPr>
      </w:pPr>
      <w:r w:rsidRPr="00577C30">
        <w:rPr>
          <w:b/>
          <w:bCs/>
        </w:rPr>
        <w:t>Self-Study Content</w:t>
      </w:r>
    </w:p>
    <w:p w14:paraId="0E02A84C" w14:textId="77777777" w:rsidR="007E5C1C" w:rsidRPr="00577C30" w:rsidRDefault="007E5C1C" w:rsidP="00577C30">
      <w:pPr>
        <w:pStyle w:val="BodyText"/>
        <w:ind w:left="0"/>
        <w:jc w:val="both"/>
        <w:rPr>
          <w:sz w:val="22"/>
          <w:szCs w:val="22"/>
        </w:rPr>
      </w:pPr>
    </w:p>
    <w:p w14:paraId="5715CDE8" w14:textId="7759CF7A" w:rsidR="00376C47" w:rsidRPr="00577C30" w:rsidRDefault="00DE6508" w:rsidP="00577C30">
      <w:pPr>
        <w:pStyle w:val="BodyText"/>
        <w:ind w:left="0"/>
        <w:jc w:val="both"/>
        <w:rPr>
          <w:spacing w:val="40"/>
          <w:sz w:val="22"/>
          <w:szCs w:val="22"/>
        </w:rPr>
      </w:pPr>
      <w:r w:rsidRPr="00577C30">
        <w:rPr>
          <w:sz w:val="22"/>
          <w:szCs w:val="22"/>
        </w:rPr>
        <w:t xml:space="preserve">The smallest unit of review is a </w:t>
      </w:r>
      <w:r w:rsidR="00376C47" w:rsidRPr="00577C30">
        <w:rPr>
          <w:sz w:val="22"/>
          <w:szCs w:val="22"/>
        </w:rPr>
        <w:t xml:space="preserve">single </w:t>
      </w:r>
      <w:r w:rsidR="003446A7" w:rsidRPr="00577C30">
        <w:rPr>
          <w:sz w:val="22"/>
          <w:szCs w:val="22"/>
        </w:rPr>
        <w:t xml:space="preserve">academic </w:t>
      </w:r>
      <w:r w:rsidRPr="00577C30">
        <w:rPr>
          <w:sz w:val="22"/>
          <w:szCs w:val="22"/>
        </w:rPr>
        <w:t>program</w:t>
      </w:r>
      <w:r w:rsidR="003446A7" w:rsidRPr="00577C30">
        <w:rPr>
          <w:sz w:val="22"/>
          <w:szCs w:val="22"/>
        </w:rPr>
        <w:t>, including (but not limited to) a degree program</w:t>
      </w:r>
      <w:r w:rsidR="00AF06EA" w:rsidRPr="00577C30">
        <w:rPr>
          <w:sz w:val="22"/>
          <w:szCs w:val="22"/>
        </w:rPr>
        <w:t xml:space="preserve"> (undergraduate and graduate)</w:t>
      </w:r>
      <w:r w:rsidR="003446A7" w:rsidRPr="00577C30">
        <w:rPr>
          <w:sz w:val="22"/>
          <w:szCs w:val="22"/>
        </w:rPr>
        <w:t>, major, minor, or certificate</w:t>
      </w:r>
      <w:r w:rsidR="00E44C82" w:rsidRPr="00577C30">
        <w:rPr>
          <w:sz w:val="22"/>
          <w:szCs w:val="22"/>
        </w:rPr>
        <w:t xml:space="preserve">. </w:t>
      </w:r>
      <w:r w:rsidR="003446A7" w:rsidRPr="00577C30">
        <w:rPr>
          <w:sz w:val="22"/>
          <w:szCs w:val="22"/>
        </w:rPr>
        <w:t xml:space="preserve">However, self-studies are typically submitted for a </w:t>
      </w:r>
      <w:r w:rsidRPr="00577C30">
        <w:rPr>
          <w:sz w:val="22"/>
          <w:szCs w:val="22"/>
        </w:rPr>
        <w:t xml:space="preserve">group of </w:t>
      </w:r>
      <w:r w:rsidR="003446A7" w:rsidRPr="00577C30">
        <w:rPr>
          <w:sz w:val="22"/>
          <w:szCs w:val="22"/>
        </w:rPr>
        <w:t xml:space="preserve">related academic </w:t>
      </w:r>
      <w:r w:rsidRPr="00577C30">
        <w:rPr>
          <w:sz w:val="22"/>
          <w:szCs w:val="22"/>
        </w:rPr>
        <w:t>programs</w:t>
      </w:r>
      <w:r w:rsidR="003446A7" w:rsidRPr="00577C30">
        <w:rPr>
          <w:sz w:val="22"/>
          <w:szCs w:val="22"/>
        </w:rPr>
        <w:t xml:space="preserve"> offered by a department/school or college</w:t>
      </w:r>
      <w:r w:rsidR="00E44C82" w:rsidRPr="00577C30">
        <w:rPr>
          <w:sz w:val="22"/>
          <w:szCs w:val="22"/>
        </w:rPr>
        <w:t xml:space="preserve"> rather than a single program. Regardless of the number of programs included in the self-study, content should address all program modalities (e.g., residential, online, etc.) and all locations in which the program is offered (e.g., Athens campus, RHE campuses, e-Campus, etc.).</w:t>
      </w:r>
      <w:r w:rsidR="00A1326E" w:rsidRPr="00577C30">
        <w:rPr>
          <w:sz w:val="22"/>
          <w:szCs w:val="22"/>
        </w:rPr>
        <w:t xml:space="preserve"> Self-study instructions </w:t>
      </w:r>
      <w:r w:rsidR="00B05C3E" w:rsidRPr="00577C30">
        <w:rPr>
          <w:sz w:val="22"/>
          <w:szCs w:val="22"/>
        </w:rPr>
        <w:t xml:space="preserve">and criteria </w:t>
      </w:r>
      <w:r w:rsidR="00A1326E" w:rsidRPr="00577C30">
        <w:rPr>
          <w:sz w:val="22"/>
          <w:szCs w:val="22"/>
        </w:rPr>
        <w:t xml:space="preserve">are provided in </w:t>
      </w:r>
      <w:r w:rsidR="00A1326E" w:rsidRPr="00577C30">
        <w:rPr>
          <w:i/>
          <w:iCs/>
          <w:sz w:val="22"/>
          <w:szCs w:val="22"/>
        </w:rPr>
        <w:t>Appendix A</w:t>
      </w:r>
      <w:r w:rsidR="00A1326E" w:rsidRPr="00577C30">
        <w:rPr>
          <w:sz w:val="22"/>
          <w:szCs w:val="22"/>
        </w:rPr>
        <w:t>.</w:t>
      </w:r>
    </w:p>
    <w:p w14:paraId="3960125A" w14:textId="77777777" w:rsidR="00046654" w:rsidRPr="00577C30" w:rsidRDefault="00046654" w:rsidP="00577C30">
      <w:pPr>
        <w:pStyle w:val="BodyText"/>
        <w:ind w:left="0"/>
        <w:jc w:val="both"/>
        <w:rPr>
          <w:sz w:val="22"/>
          <w:szCs w:val="22"/>
        </w:rPr>
      </w:pPr>
    </w:p>
    <w:p w14:paraId="5DCCDA86" w14:textId="360D3987" w:rsidR="00E44C82" w:rsidRPr="00577C30" w:rsidRDefault="00E44C82" w:rsidP="00577C30">
      <w:pPr>
        <w:pStyle w:val="BodyText"/>
        <w:ind w:left="0"/>
        <w:jc w:val="both"/>
        <w:rPr>
          <w:sz w:val="22"/>
          <w:szCs w:val="22"/>
        </w:rPr>
      </w:pPr>
      <w:r w:rsidRPr="00577C30">
        <w:rPr>
          <w:sz w:val="22"/>
          <w:szCs w:val="22"/>
        </w:rPr>
        <w:t>It is the responsibility of the unit offering the program(s) to collect and report information necessary to complete the self-study. Some information may be available through the Office of Institutional Effectiveness &amp; Analytics</w:t>
      </w:r>
      <w:r w:rsidR="0063296B" w:rsidRPr="00577C30">
        <w:rPr>
          <w:sz w:val="22"/>
          <w:szCs w:val="22"/>
        </w:rPr>
        <w:t xml:space="preserve"> (IEA)</w:t>
      </w:r>
      <w:r w:rsidRPr="00577C30">
        <w:rPr>
          <w:sz w:val="22"/>
          <w:szCs w:val="22"/>
        </w:rPr>
        <w:t xml:space="preserve">. Additional details are provided in </w:t>
      </w:r>
      <w:r w:rsidRPr="00577C30">
        <w:rPr>
          <w:i/>
          <w:iCs/>
          <w:sz w:val="22"/>
          <w:szCs w:val="22"/>
        </w:rPr>
        <w:t>Appendix B</w:t>
      </w:r>
      <w:r w:rsidRPr="00577C30">
        <w:rPr>
          <w:sz w:val="22"/>
          <w:szCs w:val="22"/>
        </w:rPr>
        <w:t>.</w:t>
      </w:r>
    </w:p>
    <w:p w14:paraId="4317E5FC" w14:textId="77777777" w:rsidR="00046654" w:rsidRPr="00577C30" w:rsidRDefault="00046654" w:rsidP="00577C30">
      <w:pPr>
        <w:pStyle w:val="BodyText"/>
        <w:ind w:left="0"/>
        <w:jc w:val="both"/>
        <w:rPr>
          <w:sz w:val="22"/>
          <w:szCs w:val="22"/>
        </w:rPr>
      </w:pPr>
    </w:p>
    <w:p w14:paraId="06DEDE0D" w14:textId="0E557EAA" w:rsidR="00046654" w:rsidRPr="00577C30" w:rsidRDefault="00E44C82" w:rsidP="00577C30">
      <w:pPr>
        <w:jc w:val="both"/>
      </w:pPr>
      <w:r w:rsidRPr="00577C30">
        <w:rPr>
          <w:i/>
          <w:iCs/>
        </w:rPr>
        <w:t>Note</w:t>
      </w:r>
      <w:r w:rsidRPr="00577C30">
        <w:t>: Professional a</w:t>
      </w:r>
      <w:r w:rsidR="00DE6508" w:rsidRPr="00577C30">
        <w:t xml:space="preserve">ccreditation </w:t>
      </w:r>
      <w:r w:rsidR="00376C47" w:rsidRPr="00577C30">
        <w:t xml:space="preserve">reports </w:t>
      </w:r>
      <w:r w:rsidR="00DE6508" w:rsidRPr="00577C30">
        <w:t xml:space="preserve">may be substituted </w:t>
      </w:r>
      <w:r w:rsidR="00376C47" w:rsidRPr="00577C30">
        <w:t>for</w:t>
      </w:r>
      <w:r w:rsidR="00C816D6" w:rsidRPr="00577C30">
        <w:t xml:space="preserve"> the </w:t>
      </w:r>
      <w:r w:rsidR="00376C47" w:rsidRPr="00577C30">
        <w:t>self-study</w:t>
      </w:r>
      <w:r w:rsidR="00C816D6" w:rsidRPr="00577C30">
        <w:t>, if the accreditation report was generated within the two academic years</w:t>
      </w:r>
      <w:r w:rsidR="00F73D50" w:rsidRPr="00577C30">
        <w:t xml:space="preserve"> prior to the review year</w:t>
      </w:r>
      <w:r w:rsidR="00C816D6" w:rsidRPr="00577C30">
        <w:t>. Units must seek</w:t>
      </w:r>
      <w:r w:rsidR="00376C47" w:rsidRPr="00577C30">
        <w:t xml:space="preserve"> the approval of </w:t>
      </w:r>
      <w:r w:rsidR="00DE6508" w:rsidRPr="00577C30">
        <w:t>the UCC Program Review Committee</w:t>
      </w:r>
      <w:r w:rsidRPr="00577C30">
        <w:t xml:space="preserve"> (PRC)</w:t>
      </w:r>
      <w:r w:rsidR="00C816D6" w:rsidRPr="00577C30">
        <w:t xml:space="preserve"> for the substitution</w:t>
      </w:r>
      <w:r w:rsidR="00DE6508" w:rsidRPr="00577C30">
        <w:t xml:space="preserve">. </w:t>
      </w:r>
      <w:r w:rsidR="00376C47" w:rsidRPr="00577C30">
        <w:t>If an accreditation report includes information beyond the scope of the self-study, extraneous information may need to be removed from the report submitted to PRC. If an accreditation report do</w:t>
      </w:r>
      <w:r w:rsidRPr="00577C30">
        <w:t>es</w:t>
      </w:r>
      <w:r w:rsidR="00376C47" w:rsidRPr="00577C30">
        <w:t xml:space="preserve"> not address all self-study requirements, missing information will need to be collected, aggregated, and </w:t>
      </w:r>
      <w:r w:rsidR="00B00D48" w:rsidRPr="00577C30">
        <w:t>incorporated into</w:t>
      </w:r>
      <w:r w:rsidR="00376C47" w:rsidRPr="00577C30">
        <w:t xml:space="preserve"> the accreditation report</w:t>
      </w:r>
      <w:r w:rsidR="00DE6508" w:rsidRPr="00577C30">
        <w:t xml:space="preserve">. </w:t>
      </w:r>
      <w:r w:rsidR="00376C47" w:rsidRPr="00577C30">
        <w:t xml:space="preserve">Programs seeking to substitute accreditation reports for </w:t>
      </w:r>
      <w:r w:rsidR="00B00D48" w:rsidRPr="00577C30">
        <w:t xml:space="preserve">their </w:t>
      </w:r>
      <w:r w:rsidR="00376C47" w:rsidRPr="00577C30">
        <w:t xml:space="preserve">self-study </w:t>
      </w:r>
      <w:r w:rsidR="00DE6508" w:rsidRPr="00577C30">
        <w:t xml:space="preserve">should meet with the PRC </w:t>
      </w:r>
      <w:r w:rsidR="00F73D50" w:rsidRPr="00577C30">
        <w:t>c</w:t>
      </w:r>
      <w:r w:rsidR="00DE6508" w:rsidRPr="00577C30">
        <w:t xml:space="preserve">hair </w:t>
      </w:r>
      <w:r w:rsidRPr="00577C30">
        <w:t>before the end of the Spring semester prior to the self-study deadline</w:t>
      </w:r>
      <w:r w:rsidR="00DE6508" w:rsidRPr="00577C30">
        <w:t xml:space="preserve"> to determine how accreditation materials will be used.</w:t>
      </w:r>
    </w:p>
    <w:p w14:paraId="2EF9429C" w14:textId="77777777" w:rsidR="00046654" w:rsidRPr="00577C30" w:rsidRDefault="00046654" w:rsidP="00577C30">
      <w:pPr>
        <w:pStyle w:val="BodyText"/>
        <w:ind w:left="0"/>
        <w:jc w:val="both"/>
        <w:rPr>
          <w:sz w:val="22"/>
          <w:szCs w:val="22"/>
        </w:rPr>
      </w:pPr>
    </w:p>
    <w:p w14:paraId="3B251A67" w14:textId="77777777" w:rsidR="003446A7" w:rsidRPr="00577C30" w:rsidRDefault="003446A7" w:rsidP="00577C30">
      <w:pPr>
        <w:pStyle w:val="BodyText"/>
        <w:ind w:left="0"/>
        <w:jc w:val="both"/>
        <w:rPr>
          <w:b/>
          <w:bCs/>
        </w:rPr>
      </w:pPr>
      <w:r w:rsidRPr="00577C30">
        <w:rPr>
          <w:b/>
          <w:bCs/>
        </w:rPr>
        <w:t>Self-Study Format</w:t>
      </w:r>
    </w:p>
    <w:p w14:paraId="1972AA2D" w14:textId="77777777" w:rsidR="003446A7" w:rsidRPr="00577C30" w:rsidRDefault="003446A7" w:rsidP="00577C30">
      <w:pPr>
        <w:pStyle w:val="BodyText"/>
        <w:ind w:left="0"/>
        <w:jc w:val="both"/>
        <w:rPr>
          <w:sz w:val="22"/>
          <w:szCs w:val="22"/>
        </w:rPr>
      </w:pPr>
    </w:p>
    <w:p w14:paraId="5EF74222" w14:textId="2B40B437" w:rsidR="003446A7" w:rsidRPr="00577C30" w:rsidRDefault="003446A7" w:rsidP="00577C30">
      <w:pPr>
        <w:pStyle w:val="BodyText"/>
        <w:ind w:left="0"/>
        <w:jc w:val="both"/>
        <w:rPr>
          <w:sz w:val="22"/>
          <w:szCs w:val="22"/>
        </w:rPr>
      </w:pPr>
      <w:r w:rsidRPr="00577C30">
        <w:rPr>
          <w:sz w:val="22"/>
          <w:szCs w:val="22"/>
        </w:rPr>
        <w:t xml:space="preserve">The body of the self-study should be a written narrative with headings and sub-headings reflecting self-study </w:t>
      </w:r>
      <w:r w:rsidR="00E44C82" w:rsidRPr="00577C30">
        <w:rPr>
          <w:sz w:val="22"/>
          <w:szCs w:val="22"/>
        </w:rPr>
        <w:t xml:space="preserve">sections and </w:t>
      </w:r>
      <w:r w:rsidRPr="00577C30">
        <w:rPr>
          <w:sz w:val="22"/>
          <w:szCs w:val="22"/>
        </w:rPr>
        <w:t>criteria. Although</w:t>
      </w:r>
      <w:r w:rsidRPr="00577C30">
        <w:rPr>
          <w:spacing w:val="-3"/>
          <w:sz w:val="22"/>
          <w:szCs w:val="22"/>
        </w:rPr>
        <w:t xml:space="preserve"> </w:t>
      </w:r>
      <w:r w:rsidRPr="00577C30">
        <w:rPr>
          <w:sz w:val="22"/>
          <w:szCs w:val="22"/>
        </w:rPr>
        <w:t>the</w:t>
      </w:r>
      <w:r w:rsidRPr="00577C30">
        <w:rPr>
          <w:spacing w:val="-3"/>
          <w:sz w:val="22"/>
          <w:szCs w:val="22"/>
        </w:rPr>
        <w:t xml:space="preserve"> </w:t>
      </w:r>
      <w:r w:rsidRPr="00577C30">
        <w:rPr>
          <w:sz w:val="22"/>
          <w:szCs w:val="22"/>
        </w:rPr>
        <w:t>body</w:t>
      </w:r>
      <w:r w:rsidRPr="00577C30">
        <w:rPr>
          <w:spacing w:val="-4"/>
          <w:sz w:val="22"/>
          <w:szCs w:val="22"/>
        </w:rPr>
        <w:t xml:space="preserve"> </w:t>
      </w:r>
      <w:r w:rsidRPr="00577C30">
        <w:rPr>
          <w:sz w:val="22"/>
          <w:szCs w:val="22"/>
        </w:rPr>
        <w:t>of</w:t>
      </w:r>
      <w:r w:rsidRPr="00577C30">
        <w:rPr>
          <w:spacing w:val="-3"/>
          <w:sz w:val="22"/>
          <w:szCs w:val="22"/>
        </w:rPr>
        <w:t xml:space="preserve"> </w:t>
      </w:r>
      <w:r w:rsidRPr="00577C30">
        <w:rPr>
          <w:sz w:val="22"/>
          <w:szCs w:val="22"/>
        </w:rPr>
        <w:t>the</w:t>
      </w:r>
      <w:r w:rsidRPr="00577C30">
        <w:rPr>
          <w:spacing w:val="-3"/>
          <w:sz w:val="22"/>
          <w:szCs w:val="22"/>
        </w:rPr>
        <w:t xml:space="preserve"> </w:t>
      </w:r>
      <w:r w:rsidRPr="00577C30">
        <w:rPr>
          <w:sz w:val="22"/>
          <w:szCs w:val="22"/>
        </w:rPr>
        <w:t>self-study</w:t>
      </w:r>
      <w:r w:rsidRPr="00577C30">
        <w:rPr>
          <w:spacing w:val="-4"/>
          <w:sz w:val="22"/>
          <w:szCs w:val="22"/>
        </w:rPr>
        <w:t xml:space="preserve"> </w:t>
      </w:r>
      <w:r w:rsidRPr="00577C30">
        <w:rPr>
          <w:sz w:val="22"/>
          <w:szCs w:val="22"/>
        </w:rPr>
        <w:t>should be</w:t>
      </w:r>
      <w:r w:rsidRPr="00577C30">
        <w:rPr>
          <w:spacing w:val="-2"/>
          <w:sz w:val="22"/>
          <w:szCs w:val="22"/>
        </w:rPr>
        <w:t xml:space="preserve"> </w:t>
      </w:r>
      <w:r w:rsidRPr="00577C30">
        <w:rPr>
          <w:sz w:val="22"/>
          <w:szCs w:val="22"/>
        </w:rPr>
        <w:t>narrative,</w:t>
      </w:r>
      <w:r w:rsidRPr="00577C30">
        <w:rPr>
          <w:spacing w:val="-2"/>
          <w:sz w:val="22"/>
          <w:szCs w:val="22"/>
        </w:rPr>
        <w:t xml:space="preserve"> </w:t>
      </w:r>
      <w:r w:rsidRPr="00577C30">
        <w:rPr>
          <w:sz w:val="22"/>
          <w:szCs w:val="22"/>
        </w:rPr>
        <w:t>the</w:t>
      </w:r>
      <w:r w:rsidRPr="00577C30">
        <w:rPr>
          <w:spacing w:val="-2"/>
          <w:sz w:val="22"/>
          <w:szCs w:val="22"/>
        </w:rPr>
        <w:t xml:space="preserve"> </w:t>
      </w:r>
      <w:r w:rsidRPr="00577C30">
        <w:rPr>
          <w:sz w:val="22"/>
          <w:szCs w:val="22"/>
        </w:rPr>
        <w:t>use</w:t>
      </w:r>
      <w:r w:rsidRPr="00577C30">
        <w:rPr>
          <w:spacing w:val="-2"/>
          <w:sz w:val="22"/>
          <w:szCs w:val="22"/>
        </w:rPr>
        <w:t xml:space="preserve"> </w:t>
      </w:r>
      <w:r w:rsidRPr="00577C30">
        <w:rPr>
          <w:sz w:val="22"/>
          <w:szCs w:val="22"/>
        </w:rPr>
        <w:t>of</w:t>
      </w:r>
      <w:r w:rsidRPr="00577C30">
        <w:rPr>
          <w:spacing w:val="-2"/>
          <w:sz w:val="22"/>
          <w:szCs w:val="22"/>
        </w:rPr>
        <w:t xml:space="preserve"> bullet lists, numbered lists, short </w:t>
      </w:r>
      <w:r w:rsidRPr="00577C30">
        <w:rPr>
          <w:sz w:val="22"/>
          <w:szCs w:val="22"/>
        </w:rPr>
        <w:t>tables,</w:t>
      </w:r>
      <w:r w:rsidRPr="00577C30">
        <w:rPr>
          <w:spacing w:val="-4"/>
          <w:sz w:val="22"/>
          <w:szCs w:val="22"/>
        </w:rPr>
        <w:t xml:space="preserve"> </w:t>
      </w:r>
      <w:r w:rsidRPr="00577C30">
        <w:rPr>
          <w:sz w:val="22"/>
          <w:szCs w:val="22"/>
        </w:rPr>
        <w:t>figures,</w:t>
      </w:r>
      <w:r w:rsidRPr="00577C30">
        <w:rPr>
          <w:spacing w:val="-2"/>
          <w:sz w:val="22"/>
          <w:szCs w:val="22"/>
        </w:rPr>
        <w:t xml:space="preserve"> </w:t>
      </w:r>
      <w:r w:rsidRPr="00577C30">
        <w:rPr>
          <w:sz w:val="22"/>
          <w:szCs w:val="22"/>
        </w:rPr>
        <w:t>or</w:t>
      </w:r>
      <w:r w:rsidRPr="00577C30">
        <w:rPr>
          <w:spacing w:val="-2"/>
          <w:sz w:val="22"/>
          <w:szCs w:val="22"/>
        </w:rPr>
        <w:t xml:space="preserve"> </w:t>
      </w:r>
      <w:r w:rsidRPr="00577C30">
        <w:rPr>
          <w:sz w:val="22"/>
          <w:szCs w:val="22"/>
        </w:rPr>
        <w:t xml:space="preserve">other graphical representations is </w:t>
      </w:r>
      <w:r w:rsidR="00AF06EA" w:rsidRPr="00577C30">
        <w:rPr>
          <w:sz w:val="22"/>
          <w:szCs w:val="22"/>
        </w:rPr>
        <w:t>encouraged</w:t>
      </w:r>
      <w:r w:rsidRPr="00577C30">
        <w:rPr>
          <w:sz w:val="22"/>
          <w:szCs w:val="22"/>
        </w:rPr>
        <w:t>.</w:t>
      </w:r>
    </w:p>
    <w:p w14:paraId="4EB0FE9F" w14:textId="77777777" w:rsidR="003446A7" w:rsidRPr="00577C30" w:rsidRDefault="003446A7" w:rsidP="00577C30">
      <w:pPr>
        <w:pStyle w:val="BodyText"/>
        <w:ind w:left="0"/>
        <w:jc w:val="both"/>
        <w:rPr>
          <w:sz w:val="22"/>
          <w:szCs w:val="22"/>
        </w:rPr>
      </w:pPr>
    </w:p>
    <w:p w14:paraId="772505A8" w14:textId="09CD5D65" w:rsidR="003446A7" w:rsidRPr="00577C30" w:rsidRDefault="003446A7" w:rsidP="00577C30">
      <w:pPr>
        <w:pStyle w:val="BodyText"/>
        <w:ind w:left="0"/>
        <w:jc w:val="both"/>
        <w:rPr>
          <w:sz w:val="22"/>
          <w:szCs w:val="22"/>
        </w:rPr>
      </w:pPr>
      <w:r w:rsidRPr="00577C30">
        <w:rPr>
          <w:sz w:val="22"/>
          <w:szCs w:val="22"/>
        </w:rPr>
        <w:t>The</w:t>
      </w:r>
      <w:r w:rsidRPr="00577C30">
        <w:rPr>
          <w:spacing w:val="-3"/>
          <w:sz w:val="22"/>
          <w:szCs w:val="22"/>
        </w:rPr>
        <w:t xml:space="preserve"> </w:t>
      </w:r>
      <w:r w:rsidRPr="00577C30">
        <w:rPr>
          <w:sz w:val="22"/>
          <w:szCs w:val="22"/>
        </w:rPr>
        <w:t>narrative</w:t>
      </w:r>
      <w:r w:rsidRPr="00577C30">
        <w:rPr>
          <w:spacing w:val="-3"/>
          <w:sz w:val="22"/>
          <w:szCs w:val="22"/>
        </w:rPr>
        <w:t xml:space="preserve"> </w:t>
      </w:r>
      <w:r w:rsidRPr="00577C30">
        <w:rPr>
          <w:sz w:val="22"/>
          <w:szCs w:val="22"/>
        </w:rPr>
        <w:t>section</w:t>
      </w:r>
      <w:r w:rsidRPr="00577C30">
        <w:rPr>
          <w:spacing w:val="-3"/>
          <w:sz w:val="22"/>
          <w:szCs w:val="22"/>
        </w:rPr>
        <w:t xml:space="preserve"> </w:t>
      </w:r>
      <w:r w:rsidRPr="00577C30">
        <w:rPr>
          <w:sz w:val="22"/>
          <w:szCs w:val="22"/>
        </w:rPr>
        <w:t>should</w:t>
      </w:r>
      <w:r w:rsidRPr="00577C30">
        <w:rPr>
          <w:spacing w:val="-4"/>
          <w:sz w:val="22"/>
          <w:szCs w:val="22"/>
        </w:rPr>
        <w:t xml:space="preserve"> </w:t>
      </w:r>
      <w:r w:rsidRPr="00577C30">
        <w:rPr>
          <w:sz w:val="22"/>
          <w:szCs w:val="22"/>
        </w:rPr>
        <w:t>be</w:t>
      </w:r>
      <w:r w:rsidRPr="00577C30">
        <w:rPr>
          <w:spacing w:val="-3"/>
          <w:sz w:val="22"/>
          <w:szCs w:val="22"/>
        </w:rPr>
        <w:t xml:space="preserve"> </w:t>
      </w:r>
      <w:r w:rsidRPr="00577C30">
        <w:rPr>
          <w:sz w:val="22"/>
          <w:szCs w:val="22"/>
        </w:rPr>
        <w:t>followed</w:t>
      </w:r>
      <w:r w:rsidRPr="00577C30">
        <w:rPr>
          <w:spacing w:val="-3"/>
          <w:sz w:val="22"/>
          <w:szCs w:val="22"/>
        </w:rPr>
        <w:t xml:space="preserve"> </w:t>
      </w:r>
      <w:r w:rsidRPr="00577C30">
        <w:rPr>
          <w:sz w:val="22"/>
          <w:szCs w:val="22"/>
        </w:rPr>
        <w:t>by</w:t>
      </w:r>
      <w:r w:rsidRPr="00577C30">
        <w:rPr>
          <w:spacing w:val="-3"/>
          <w:sz w:val="22"/>
          <w:szCs w:val="22"/>
        </w:rPr>
        <w:t xml:space="preserve"> </w:t>
      </w:r>
      <w:r w:rsidRPr="00577C30">
        <w:rPr>
          <w:sz w:val="22"/>
          <w:szCs w:val="22"/>
        </w:rPr>
        <w:t>appendices that</w:t>
      </w:r>
      <w:r w:rsidRPr="00577C30">
        <w:rPr>
          <w:spacing w:val="-3"/>
          <w:sz w:val="22"/>
          <w:szCs w:val="22"/>
        </w:rPr>
        <w:t xml:space="preserve"> provide reference information for the </w:t>
      </w:r>
      <w:r w:rsidR="00A1326E" w:rsidRPr="00577C30">
        <w:rPr>
          <w:spacing w:val="-3"/>
          <w:sz w:val="22"/>
          <w:szCs w:val="22"/>
        </w:rPr>
        <w:t xml:space="preserve">information provided in the </w:t>
      </w:r>
      <w:r w:rsidRPr="00577C30">
        <w:rPr>
          <w:spacing w:val="-3"/>
          <w:sz w:val="22"/>
          <w:szCs w:val="22"/>
        </w:rPr>
        <w:t xml:space="preserve">narrative. Typically, appendices </w:t>
      </w:r>
      <w:r w:rsidR="00A1326E" w:rsidRPr="00577C30">
        <w:rPr>
          <w:spacing w:val="-3"/>
          <w:sz w:val="22"/>
          <w:szCs w:val="22"/>
        </w:rPr>
        <w:t>provide</w:t>
      </w:r>
      <w:r w:rsidRPr="00577C30">
        <w:rPr>
          <w:spacing w:val="-3"/>
          <w:sz w:val="22"/>
          <w:szCs w:val="22"/>
        </w:rPr>
        <w:t xml:space="preserve"> evidence supporting claims or statements of facts. </w:t>
      </w:r>
      <w:r w:rsidR="00A1326E" w:rsidRPr="00577C30">
        <w:rPr>
          <w:spacing w:val="-3"/>
          <w:sz w:val="22"/>
          <w:szCs w:val="22"/>
        </w:rPr>
        <w:t>Appendices should be clearly reference</w:t>
      </w:r>
      <w:r w:rsidR="00B00D48" w:rsidRPr="00577C30">
        <w:rPr>
          <w:spacing w:val="-3"/>
          <w:sz w:val="22"/>
          <w:szCs w:val="22"/>
        </w:rPr>
        <w:t>d</w:t>
      </w:r>
      <w:r w:rsidR="00A1326E" w:rsidRPr="00577C30">
        <w:rPr>
          <w:spacing w:val="-3"/>
          <w:sz w:val="22"/>
          <w:szCs w:val="22"/>
        </w:rPr>
        <w:t xml:space="preserve"> in the body </w:t>
      </w:r>
      <w:r w:rsidRPr="00577C30">
        <w:rPr>
          <w:sz w:val="22"/>
          <w:szCs w:val="22"/>
        </w:rPr>
        <w:t xml:space="preserve">of the </w:t>
      </w:r>
      <w:r w:rsidR="00A1326E" w:rsidRPr="00577C30">
        <w:rPr>
          <w:sz w:val="22"/>
          <w:szCs w:val="22"/>
        </w:rPr>
        <w:t>self-study</w:t>
      </w:r>
      <w:r w:rsidRPr="00577C30">
        <w:rPr>
          <w:sz w:val="22"/>
          <w:szCs w:val="22"/>
        </w:rPr>
        <w:t>.</w:t>
      </w:r>
    </w:p>
    <w:p w14:paraId="3BE03283" w14:textId="77777777" w:rsidR="003446A7" w:rsidRPr="00577C30" w:rsidRDefault="003446A7" w:rsidP="00577C30">
      <w:pPr>
        <w:jc w:val="both"/>
      </w:pPr>
    </w:p>
    <w:p w14:paraId="1749D274" w14:textId="3EFB6F07" w:rsidR="00A1326E" w:rsidRPr="00577C30" w:rsidRDefault="00A1326E" w:rsidP="00577C30">
      <w:pPr>
        <w:pStyle w:val="BodyText"/>
        <w:ind w:left="0"/>
        <w:jc w:val="both"/>
        <w:rPr>
          <w:b/>
          <w:bCs/>
        </w:rPr>
      </w:pPr>
      <w:r w:rsidRPr="00577C30">
        <w:rPr>
          <w:b/>
          <w:bCs/>
        </w:rPr>
        <w:t>Submission Deadline</w:t>
      </w:r>
    </w:p>
    <w:p w14:paraId="4EDF46DE" w14:textId="77777777" w:rsidR="00A1326E" w:rsidRPr="00577C30" w:rsidRDefault="00A1326E" w:rsidP="00577C30">
      <w:pPr>
        <w:pStyle w:val="BodyText"/>
        <w:ind w:left="0"/>
        <w:jc w:val="both"/>
        <w:rPr>
          <w:b/>
          <w:bCs/>
          <w:sz w:val="22"/>
          <w:szCs w:val="22"/>
        </w:rPr>
      </w:pPr>
    </w:p>
    <w:p w14:paraId="2B7D22C1" w14:textId="081FA9BA" w:rsidR="00046654" w:rsidRPr="00577C30" w:rsidRDefault="00DE6508" w:rsidP="00577C30">
      <w:pPr>
        <w:jc w:val="both"/>
        <w:rPr>
          <w:bCs/>
        </w:rPr>
      </w:pPr>
      <w:r w:rsidRPr="00577C30">
        <w:rPr>
          <w:bCs/>
        </w:rPr>
        <w:t xml:space="preserve">The deadline for the self-study is </w:t>
      </w:r>
      <w:r w:rsidRPr="00577C30">
        <w:rPr>
          <w:b/>
        </w:rPr>
        <w:t>September 15</w:t>
      </w:r>
      <w:r w:rsidRPr="00577C30">
        <w:rPr>
          <w:bCs/>
        </w:rPr>
        <w:t>.</w:t>
      </w:r>
      <w:r w:rsidR="00A1326E" w:rsidRPr="00577C30">
        <w:rPr>
          <w:bCs/>
        </w:rPr>
        <w:t xml:space="preserve"> Self-studies should be submitted to the Chair of </w:t>
      </w:r>
      <w:r w:rsidR="00C816D6" w:rsidRPr="00577C30">
        <w:rPr>
          <w:bCs/>
        </w:rPr>
        <w:t xml:space="preserve">the </w:t>
      </w:r>
      <w:r w:rsidR="00A1326E" w:rsidRPr="00577C30">
        <w:rPr>
          <w:bCs/>
        </w:rPr>
        <w:t>PRC.</w:t>
      </w:r>
    </w:p>
    <w:p w14:paraId="0EC263FF" w14:textId="03E53B06" w:rsidR="00A1326E" w:rsidRPr="00577C30" w:rsidRDefault="00A1326E" w:rsidP="00577C30">
      <w:pPr>
        <w:pStyle w:val="Heading1"/>
        <w:ind w:left="0" w:firstLine="0"/>
        <w:jc w:val="both"/>
      </w:pPr>
      <w:r w:rsidRPr="00577C30">
        <w:lastRenderedPageBreak/>
        <w:t>Appendix A: Self-Study</w:t>
      </w:r>
      <w:r w:rsidRPr="00577C30">
        <w:rPr>
          <w:spacing w:val="-10"/>
        </w:rPr>
        <w:t xml:space="preserve"> </w:t>
      </w:r>
      <w:r w:rsidR="00B05C3E" w:rsidRPr="00577C30">
        <w:rPr>
          <w:spacing w:val="-10"/>
        </w:rPr>
        <w:t xml:space="preserve">Instructions and </w:t>
      </w:r>
      <w:r w:rsidRPr="00577C30">
        <w:t>Criteria</w:t>
      </w:r>
    </w:p>
    <w:p w14:paraId="02EBBCBC" w14:textId="77777777" w:rsidR="00A1326E" w:rsidRPr="00577C30" w:rsidRDefault="00A1326E" w:rsidP="00577C30">
      <w:pPr>
        <w:jc w:val="both"/>
        <w:rPr>
          <w:b/>
          <w:i/>
          <w:iCs/>
        </w:rPr>
      </w:pPr>
    </w:p>
    <w:p w14:paraId="0CC9A21B" w14:textId="32DD23F1" w:rsidR="00E44C82" w:rsidRPr="00577C30" w:rsidRDefault="00E44C82" w:rsidP="00577C30">
      <w:pPr>
        <w:rPr>
          <w:spacing w:val="-2"/>
        </w:rPr>
      </w:pPr>
      <w:r w:rsidRPr="00577C30">
        <w:rPr>
          <w:b/>
        </w:rPr>
        <w:t>Instructions:</w:t>
      </w:r>
      <w:r w:rsidRPr="00577C30">
        <w:rPr>
          <w:b/>
          <w:spacing w:val="55"/>
        </w:rPr>
        <w:t xml:space="preserve"> </w:t>
      </w:r>
      <w:r w:rsidRPr="00577C30">
        <w:t>Please</w:t>
      </w:r>
      <w:r w:rsidRPr="00577C30">
        <w:rPr>
          <w:spacing w:val="-3"/>
        </w:rPr>
        <w:t xml:space="preserve"> </w:t>
      </w:r>
      <w:r w:rsidRPr="00577C30">
        <w:t>include</w:t>
      </w:r>
      <w:r w:rsidRPr="00577C30">
        <w:rPr>
          <w:spacing w:val="-3"/>
        </w:rPr>
        <w:t xml:space="preserve"> </w:t>
      </w:r>
      <w:r w:rsidR="008A1BB0" w:rsidRPr="00577C30">
        <w:t>all</w:t>
      </w:r>
      <w:r w:rsidRPr="00577C30">
        <w:rPr>
          <w:spacing w:val="-2"/>
        </w:rPr>
        <w:t xml:space="preserve"> </w:t>
      </w:r>
      <w:r w:rsidRPr="00577C30">
        <w:t>the</w:t>
      </w:r>
      <w:r w:rsidRPr="00577C30">
        <w:rPr>
          <w:spacing w:val="-3"/>
        </w:rPr>
        <w:t xml:space="preserve"> </w:t>
      </w:r>
      <w:r w:rsidRPr="00577C30">
        <w:t>information</w:t>
      </w:r>
      <w:r w:rsidRPr="00577C30">
        <w:rPr>
          <w:spacing w:val="-3"/>
        </w:rPr>
        <w:t xml:space="preserve"> </w:t>
      </w:r>
      <w:r w:rsidRPr="00577C30">
        <w:t>requested</w:t>
      </w:r>
      <w:r w:rsidRPr="00577C30">
        <w:rPr>
          <w:spacing w:val="-5"/>
        </w:rPr>
        <w:t xml:space="preserve"> </w:t>
      </w:r>
      <w:r w:rsidRPr="00577C30">
        <w:rPr>
          <w:spacing w:val="-2"/>
        </w:rPr>
        <w:t>below</w:t>
      </w:r>
      <w:r w:rsidR="00A1326E" w:rsidRPr="00577C30">
        <w:rPr>
          <w:spacing w:val="-2"/>
        </w:rPr>
        <w:t xml:space="preserve"> in the self-study</w:t>
      </w:r>
      <w:r w:rsidRPr="00577C30">
        <w:rPr>
          <w:spacing w:val="-2"/>
        </w:rPr>
        <w:t xml:space="preserve">. The </w:t>
      </w:r>
      <w:r w:rsidR="00A1326E" w:rsidRPr="00577C30">
        <w:rPr>
          <w:spacing w:val="-2"/>
        </w:rPr>
        <w:t>self-study</w:t>
      </w:r>
      <w:r w:rsidRPr="00577C30">
        <w:rPr>
          <w:spacing w:val="-2"/>
        </w:rPr>
        <w:t xml:space="preserve"> should </w:t>
      </w:r>
      <w:r w:rsidR="00A1326E" w:rsidRPr="00577C30">
        <w:rPr>
          <w:spacing w:val="-2"/>
        </w:rPr>
        <w:t>reflect</w:t>
      </w:r>
      <w:r w:rsidRPr="00577C30">
        <w:rPr>
          <w:spacing w:val="-2"/>
        </w:rPr>
        <w:t xml:space="preserve"> </w:t>
      </w:r>
      <w:r w:rsidR="005F694D" w:rsidRPr="00577C30">
        <w:rPr>
          <w:spacing w:val="-2"/>
        </w:rPr>
        <w:t xml:space="preserve">information ranging </w:t>
      </w:r>
      <w:r w:rsidRPr="00577C30">
        <w:rPr>
          <w:spacing w:val="-2"/>
        </w:rPr>
        <w:t xml:space="preserve">from the fall semester following the most recent UCC review to the </w:t>
      </w:r>
      <w:r w:rsidR="005F694D" w:rsidRPr="00577C30">
        <w:rPr>
          <w:spacing w:val="-2"/>
        </w:rPr>
        <w:t xml:space="preserve">end of the </w:t>
      </w:r>
      <w:r w:rsidRPr="00577C30">
        <w:rPr>
          <w:spacing w:val="-2"/>
        </w:rPr>
        <w:t xml:space="preserve">spring semester </w:t>
      </w:r>
      <w:r w:rsidR="005F694D" w:rsidRPr="00577C30">
        <w:rPr>
          <w:spacing w:val="-2"/>
        </w:rPr>
        <w:t xml:space="preserve">immediately </w:t>
      </w:r>
      <w:r w:rsidRPr="00577C30">
        <w:rPr>
          <w:spacing w:val="-2"/>
        </w:rPr>
        <w:t xml:space="preserve">prior to </w:t>
      </w:r>
      <w:r w:rsidR="005F694D" w:rsidRPr="00577C30">
        <w:rPr>
          <w:spacing w:val="-2"/>
        </w:rPr>
        <w:t>self-study submission deadline</w:t>
      </w:r>
      <w:r w:rsidRPr="00577C30">
        <w:rPr>
          <w:spacing w:val="-2"/>
        </w:rPr>
        <w:t xml:space="preserve">.  </w:t>
      </w:r>
    </w:p>
    <w:p w14:paraId="3840B751" w14:textId="25C55D4B" w:rsidR="00A1326E" w:rsidRPr="00577C30" w:rsidRDefault="00A1326E" w:rsidP="00577C30">
      <w:pPr>
        <w:rPr>
          <w:spacing w:val="-2"/>
        </w:rPr>
      </w:pPr>
    </w:p>
    <w:p w14:paraId="1F98C8EF" w14:textId="07BC2009" w:rsidR="00A1326E" w:rsidRPr="00577C30" w:rsidRDefault="00A1326E" w:rsidP="00577C30">
      <w:pPr>
        <w:pStyle w:val="ListParagraph"/>
        <w:numPr>
          <w:ilvl w:val="0"/>
          <w:numId w:val="17"/>
        </w:numPr>
        <w:ind w:hanging="180"/>
        <w:rPr>
          <w:sz w:val="24"/>
          <w:szCs w:val="24"/>
          <w:u w:val="single"/>
        </w:rPr>
      </w:pPr>
      <w:r w:rsidRPr="00577C30">
        <w:rPr>
          <w:spacing w:val="-2"/>
          <w:sz w:val="24"/>
          <w:szCs w:val="24"/>
          <w:u w:val="single"/>
        </w:rPr>
        <w:t>Introduction</w:t>
      </w:r>
    </w:p>
    <w:p w14:paraId="470A87E8" w14:textId="77DD30B0" w:rsidR="005F694D" w:rsidRPr="00577C30" w:rsidRDefault="005F694D" w:rsidP="00577C30">
      <w:pPr>
        <w:pStyle w:val="ListParagraph"/>
        <w:numPr>
          <w:ilvl w:val="1"/>
          <w:numId w:val="19"/>
        </w:numPr>
        <w:ind w:left="720"/>
      </w:pPr>
      <w:bookmarkStart w:id="0" w:name="_Hlk125283348"/>
      <w:r w:rsidRPr="00577C30">
        <w:rPr>
          <w:spacing w:val="-2"/>
        </w:rPr>
        <w:t>List the names and codes of each program (e.g., AA110 Associate in Arts – Social Sciences Emphasis) included in the self-study</w:t>
      </w:r>
      <w:r w:rsidR="00256450" w:rsidRPr="00577C30">
        <w:rPr>
          <w:spacing w:val="-2"/>
        </w:rPr>
        <w:t>.</w:t>
      </w:r>
    </w:p>
    <w:p w14:paraId="15A2E37F" w14:textId="03900488" w:rsidR="005F694D" w:rsidRPr="00577C30" w:rsidRDefault="005F694D" w:rsidP="00577C30">
      <w:pPr>
        <w:pStyle w:val="ListParagraph"/>
        <w:numPr>
          <w:ilvl w:val="1"/>
          <w:numId w:val="19"/>
        </w:numPr>
        <w:ind w:left="720"/>
      </w:pPr>
      <w:r w:rsidRPr="00577C30">
        <w:t>List the date of the most recent review for each program.</w:t>
      </w:r>
    </w:p>
    <w:p w14:paraId="1031020B" w14:textId="054F478B" w:rsidR="005F694D" w:rsidRPr="00577C30" w:rsidRDefault="004C65BB" w:rsidP="00577C30">
      <w:pPr>
        <w:pStyle w:val="ListParagraph"/>
        <w:numPr>
          <w:ilvl w:val="1"/>
          <w:numId w:val="19"/>
        </w:numPr>
        <w:ind w:left="720"/>
      </w:pPr>
      <w:r w:rsidRPr="00577C30">
        <w:t xml:space="preserve">List </w:t>
      </w:r>
      <w:r w:rsidR="005F694D" w:rsidRPr="00577C30">
        <w:t>the delivery modalit</w:t>
      </w:r>
      <w:r w:rsidRPr="00577C30">
        <w:t>y or modalities</w:t>
      </w:r>
      <w:r w:rsidR="005F694D" w:rsidRPr="00577C30">
        <w:t xml:space="preserve"> </w:t>
      </w:r>
      <w:r w:rsidRPr="00577C30">
        <w:t>for</w:t>
      </w:r>
      <w:r w:rsidR="005F694D" w:rsidRPr="00577C30">
        <w:t xml:space="preserve"> each program.</w:t>
      </w:r>
    </w:p>
    <w:p w14:paraId="2363D9D1" w14:textId="7BA1BC6E" w:rsidR="00043825" w:rsidRPr="00577C30" w:rsidRDefault="004C65BB" w:rsidP="00577C30">
      <w:pPr>
        <w:pStyle w:val="ListParagraph"/>
        <w:numPr>
          <w:ilvl w:val="1"/>
          <w:numId w:val="19"/>
        </w:numPr>
        <w:ind w:left="720"/>
      </w:pPr>
      <w:r w:rsidRPr="00577C30">
        <w:t>List</w:t>
      </w:r>
      <w:r w:rsidR="005F694D" w:rsidRPr="00577C30">
        <w:t xml:space="preserve"> </w:t>
      </w:r>
      <w:r w:rsidR="00420745" w:rsidRPr="00577C30">
        <w:t xml:space="preserve">the </w:t>
      </w:r>
      <w:r w:rsidR="00B05C3E" w:rsidRPr="00577C30">
        <w:t xml:space="preserve">historical and current </w:t>
      </w:r>
      <w:r w:rsidRPr="00577C30">
        <w:t xml:space="preserve">student </w:t>
      </w:r>
      <w:r w:rsidR="00043825" w:rsidRPr="00577C30">
        <w:t>program enrollment</w:t>
      </w:r>
      <w:r w:rsidR="0063296B" w:rsidRPr="00577C30">
        <w:t xml:space="preserve"> in each program.</w:t>
      </w:r>
    </w:p>
    <w:p w14:paraId="1A822E9B" w14:textId="719F3C75" w:rsidR="005F694D" w:rsidRPr="00577C30" w:rsidRDefault="00A0685A" w:rsidP="00577C30">
      <w:pPr>
        <w:pStyle w:val="ListParagraph"/>
        <w:numPr>
          <w:ilvl w:val="1"/>
          <w:numId w:val="19"/>
        </w:numPr>
        <w:ind w:left="720"/>
      </w:pPr>
      <w:r w:rsidRPr="00577C30">
        <w:t>D</w:t>
      </w:r>
      <w:r w:rsidR="005F694D" w:rsidRPr="00577C30">
        <w:t xml:space="preserve">escribe any significant changes </w:t>
      </w:r>
      <w:r w:rsidR="00742D38" w:rsidRPr="00577C30">
        <w:t>t</w:t>
      </w:r>
      <w:r w:rsidR="00CC747D" w:rsidRPr="00577C30">
        <w:t>o program structure,</w:t>
      </w:r>
      <w:r w:rsidR="00742D38" w:rsidRPr="00577C30">
        <w:t xml:space="preserve"> modality</w:t>
      </w:r>
      <w:r w:rsidR="00CC747D" w:rsidRPr="00577C30">
        <w:t xml:space="preserve">, </w:t>
      </w:r>
      <w:r w:rsidR="00742D38" w:rsidRPr="00577C30">
        <w:t>or enrollment</w:t>
      </w:r>
      <w:r w:rsidR="004928BF" w:rsidRPr="00577C30">
        <w:t>s</w:t>
      </w:r>
      <w:r w:rsidR="00742D38" w:rsidRPr="00577C30">
        <w:t xml:space="preserve"> </w:t>
      </w:r>
      <w:r w:rsidR="005F694D" w:rsidRPr="00577C30">
        <w:t xml:space="preserve">since the </w:t>
      </w:r>
      <w:r w:rsidR="00742D38" w:rsidRPr="00577C30">
        <w:t>last review.</w:t>
      </w:r>
    </w:p>
    <w:bookmarkEnd w:id="0"/>
    <w:p w14:paraId="2E872AA0" w14:textId="77777777" w:rsidR="005F694D" w:rsidRPr="00577C30" w:rsidRDefault="005F694D" w:rsidP="00577C30">
      <w:pPr>
        <w:ind w:hanging="180"/>
      </w:pPr>
    </w:p>
    <w:p w14:paraId="412788F8" w14:textId="681E1E23" w:rsidR="00A1326E" w:rsidRPr="00577C30" w:rsidRDefault="00A1326E" w:rsidP="00577C30">
      <w:pPr>
        <w:pStyle w:val="ListParagraph"/>
        <w:numPr>
          <w:ilvl w:val="0"/>
          <w:numId w:val="17"/>
        </w:numPr>
        <w:ind w:hanging="180"/>
        <w:rPr>
          <w:sz w:val="24"/>
          <w:szCs w:val="24"/>
          <w:u w:val="single"/>
        </w:rPr>
      </w:pPr>
      <w:r w:rsidRPr="00577C30">
        <w:rPr>
          <w:spacing w:val="-2"/>
          <w:sz w:val="24"/>
          <w:szCs w:val="24"/>
          <w:u w:val="single"/>
        </w:rPr>
        <w:t>Curriculum</w:t>
      </w:r>
    </w:p>
    <w:p w14:paraId="0CB1A5B9" w14:textId="1F59AD9A" w:rsidR="00742D38" w:rsidRPr="00577C30" w:rsidRDefault="00742D38" w:rsidP="00577C30">
      <w:pPr>
        <w:pStyle w:val="ListParagraph"/>
        <w:numPr>
          <w:ilvl w:val="1"/>
          <w:numId w:val="20"/>
        </w:numPr>
        <w:ind w:left="720"/>
      </w:pPr>
      <w:bookmarkStart w:id="1" w:name="_Hlk125290395"/>
      <w:r w:rsidRPr="00577C30">
        <w:rPr>
          <w:spacing w:val="-2"/>
        </w:rPr>
        <w:t>Provide a brief description of each program as it appears in the catalog.</w:t>
      </w:r>
    </w:p>
    <w:p w14:paraId="4E65A956" w14:textId="06C6C8C4" w:rsidR="00742D38" w:rsidRPr="00577C30" w:rsidRDefault="00742D38" w:rsidP="00577C30">
      <w:pPr>
        <w:pStyle w:val="ListParagraph"/>
        <w:numPr>
          <w:ilvl w:val="1"/>
          <w:numId w:val="20"/>
        </w:numPr>
        <w:ind w:left="720"/>
      </w:pPr>
      <w:r w:rsidRPr="00577C30">
        <w:rPr>
          <w:spacing w:val="-2"/>
        </w:rPr>
        <w:t>List the program learning outcomes for each program.</w:t>
      </w:r>
    </w:p>
    <w:p w14:paraId="22662C7A" w14:textId="3BBB4C62" w:rsidR="00342E91" w:rsidRPr="00577C30" w:rsidRDefault="00A0685A" w:rsidP="00577C30">
      <w:pPr>
        <w:pStyle w:val="ListParagraph"/>
        <w:numPr>
          <w:ilvl w:val="1"/>
          <w:numId w:val="20"/>
        </w:numPr>
        <w:ind w:left="720"/>
      </w:pPr>
      <w:r w:rsidRPr="00577C30">
        <w:rPr>
          <w:spacing w:val="-2"/>
        </w:rPr>
        <w:t xml:space="preserve">Describe the requirements and electives for each program, such as total credit hours, general education requirements, college requirements, degree requirements, program (major, minor, or certificate) requirements, and program (major, minor, or certificate) electives. Using a table, provide the current course requirements and electives in an </w:t>
      </w:r>
      <w:r w:rsidR="00B00D48" w:rsidRPr="00577C30">
        <w:rPr>
          <w:spacing w:val="-2"/>
        </w:rPr>
        <w:t>a</w:t>
      </w:r>
      <w:r w:rsidRPr="00577C30">
        <w:rPr>
          <w:spacing w:val="-2"/>
        </w:rPr>
        <w:t xml:space="preserve">ppendix. A sample is provided in </w:t>
      </w:r>
      <w:r w:rsidRPr="00577C30">
        <w:rPr>
          <w:i/>
          <w:iCs/>
          <w:spacing w:val="-2"/>
        </w:rPr>
        <w:t>Table 1</w:t>
      </w:r>
      <w:r w:rsidRPr="00577C30">
        <w:rPr>
          <w:spacing w:val="-2"/>
        </w:rPr>
        <w:t>.</w:t>
      </w:r>
    </w:p>
    <w:p w14:paraId="71268948" w14:textId="1310C3F9" w:rsidR="00342E91" w:rsidRPr="00577C30" w:rsidRDefault="00342E91" w:rsidP="00577C30">
      <w:pPr>
        <w:pStyle w:val="ListParagraph"/>
        <w:numPr>
          <w:ilvl w:val="1"/>
          <w:numId w:val="20"/>
        </w:numPr>
        <w:ind w:left="720"/>
      </w:pPr>
      <w:r w:rsidRPr="00577C30">
        <w:rPr>
          <w:spacing w:val="-2"/>
        </w:rPr>
        <w:t>List the current and historical average section size</w:t>
      </w:r>
      <w:r w:rsidR="00C9602D" w:rsidRPr="00577C30">
        <w:rPr>
          <w:rStyle w:val="FootnoteReference"/>
          <w:spacing w:val="-2"/>
        </w:rPr>
        <w:t xml:space="preserve"> </w:t>
      </w:r>
      <w:r w:rsidRPr="00577C30">
        <w:rPr>
          <w:spacing w:val="-2"/>
        </w:rPr>
        <w:t xml:space="preserve"> for each required and elective course</w:t>
      </w:r>
      <w:r w:rsidR="008C04D4" w:rsidRPr="00577C30">
        <w:rPr>
          <w:strike/>
          <w:spacing w:val="-2"/>
        </w:rPr>
        <w:t>s</w:t>
      </w:r>
      <w:r w:rsidRPr="00577C30">
        <w:rPr>
          <w:spacing w:val="-2"/>
        </w:rPr>
        <w:t xml:space="preserve"> (excluding general education courses) </w:t>
      </w:r>
      <w:r w:rsidR="008C04D4" w:rsidRPr="00577C30">
        <w:rPr>
          <w:spacing w:val="-2"/>
        </w:rPr>
        <w:t xml:space="preserve">in each </w:t>
      </w:r>
      <w:r w:rsidRPr="00577C30">
        <w:rPr>
          <w:spacing w:val="-2"/>
        </w:rPr>
        <w:t>program.</w:t>
      </w:r>
    </w:p>
    <w:p w14:paraId="7BB24369" w14:textId="41C53660" w:rsidR="00752020" w:rsidRPr="00577C30" w:rsidRDefault="00752020" w:rsidP="00577C30">
      <w:pPr>
        <w:pStyle w:val="ListParagraph"/>
        <w:numPr>
          <w:ilvl w:val="1"/>
          <w:numId w:val="20"/>
        </w:numPr>
        <w:ind w:left="720"/>
      </w:pPr>
      <w:r w:rsidRPr="00577C30">
        <w:rPr>
          <w:spacing w:val="-2"/>
        </w:rPr>
        <w:t xml:space="preserve">List and describe </w:t>
      </w:r>
      <w:r w:rsidR="00342E91" w:rsidRPr="00577C30">
        <w:rPr>
          <w:spacing w:val="-2"/>
        </w:rPr>
        <w:t xml:space="preserve">required and optional </w:t>
      </w:r>
      <w:r w:rsidRPr="00577C30">
        <w:rPr>
          <w:spacing w:val="-2"/>
        </w:rPr>
        <w:t xml:space="preserve">high-impact </w:t>
      </w:r>
      <w:r w:rsidR="00F258C4" w:rsidRPr="00577C30">
        <w:rPr>
          <w:spacing w:val="-2"/>
        </w:rPr>
        <w:t>teaching and learning practices</w:t>
      </w:r>
      <w:r w:rsidR="005771BE" w:rsidRPr="00577C30">
        <w:rPr>
          <w:rStyle w:val="FootnoteReference"/>
          <w:spacing w:val="-2"/>
        </w:rPr>
        <w:footnoteReference w:id="1"/>
      </w:r>
      <w:r w:rsidR="00F258C4" w:rsidRPr="00577C30">
        <w:rPr>
          <w:spacing w:val="-2"/>
        </w:rPr>
        <w:t xml:space="preserve"> for each program.</w:t>
      </w:r>
    </w:p>
    <w:p w14:paraId="1DD54847" w14:textId="77777777" w:rsidR="00CC747D" w:rsidRPr="00577C30" w:rsidRDefault="00AF4E74" w:rsidP="00577C30">
      <w:pPr>
        <w:pStyle w:val="ListParagraph"/>
        <w:numPr>
          <w:ilvl w:val="1"/>
          <w:numId w:val="20"/>
        </w:numPr>
        <w:ind w:left="720"/>
      </w:pPr>
      <w:r w:rsidRPr="00577C30">
        <w:rPr>
          <w:spacing w:val="-2"/>
        </w:rPr>
        <w:t>Describe the intended/ideal program sequence</w:t>
      </w:r>
      <w:r w:rsidR="00752020" w:rsidRPr="00577C30">
        <w:rPr>
          <w:spacing w:val="-2"/>
        </w:rPr>
        <w:t xml:space="preserve"> </w:t>
      </w:r>
      <w:r w:rsidR="00F258C4" w:rsidRPr="00577C30">
        <w:rPr>
          <w:spacing w:val="-2"/>
        </w:rPr>
        <w:t>including benchmarks/milestones of student progress for each program.</w:t>
      </w:r>
    </w:p>
    <w:p w14:paraId="049DFA25" w14:textId="1923B30E" w:rsidR="00CC747D" w:rsidRPr="00577C30" w:rsidRDefault="00CC747D" w:rsidP="00577C30">
      <w:pPr>
        <w:pStyle w:val="ListParagraph"/>
        <w:numPr>
          <w:ilvl w:val="1"/>
          <w:numId w:val="20"/>
        </w:numPr>
        <w:ind w:left="720"/>
      </w:pPr>
      <w:r w:rsidRPr="00577C30">
        <w:t>Describe any significant changes to the curriculum since the last review.</w:t>
      </w:r>
    </w:p>
    <w:bookmarkEnd w:id="1"/>
    <w:p w14:paraId="4D62BC5C" w14:textId="77777777" w:rsidR="00742D38" w:rsidRPr="00577C30" w:rsidRDefault="00742D38" w:rsidP="00577C30"/>
    <w:p w14:paraId="57C9D692" w14:textId="3A0BE020" w:rsidR="00A1326E" w:rsidRPr="00577C30" w:rsidRDefault="002B13D2" w:rsidP="00577C30">
      <w:pPr>
        <w:pStyle w:val="ListParagraph"/>
        <w:numPr>
          <w:ilvl w:val="0"/>
          <w:numId w:val="17"/>
        </w:numPr>
        <w:ind w:hanging="180"/>
        <w:rPr>
          <w:sz w:val="24"/>
          <w:szCs w:val="24"/>
          <w:u w:val="single"/>
        </w:rPr>
      </w:pPr>
      <w:r w:rsidRPr="00577C30">
        <w:rPr>
          <w:spacing w:val="-2"/>
          <w:sz w:val="24"/>
          <w:szCs w:val="24"/>
          <w:u w:val="single"/>
        </w:rPr>
        <w:t>Assurance of Learning (Assessment)</w:t>
      </w:r>
    </w:p>
    <w:p w14:paraId="14B90FF9" w14:textId="70E5E316" w:rsidR="00345E1F" w:rsidRPr="00577C30" w:rsidRDefault="005771BE" w:rsidP="00577C30">
      <w:pPr>
        <w:pStyle w:val="ListParagraph"/>
        <w:ind w:left="360" w:firstLine="0"/>
        <w:rPr>
          <w:u w:val="single"/>
        </w:rPr>
      </w:pPr>
      <w:r w:rsidRPr="00433424">
        <w:rPr>
          <w:rStyle w:val="ui-provider"/>
          <w:i/>
          <w:iCs/>
        </w:rPr>
        <w:t>Note</w:t>
      </w:r>
      <w:r>
        <w:rPr>
          <w:rStyle w:val="ui-provider"/>
        </w:rPr>
        <w:t xml:space="preserve">: </w:t>
      </w:r>
      <w:r w:rsidR="00345E1F" w:rsidRPr="00577C30">
        <w:rPr>
          <w:rStyle w:val="ui-provider"/>
        </w:rPr>
        <w:t>The following items refer to the program(s) current assurance of learning using the most recent update from the Assessment Clearinghouse. Please provide the annual updates</w:t>
      </w:r>
      <w:r w:rsidR="00905271" w:rsidRPr="00577C30">
        <w:rPr>
          <w:rStyle w:val="ui-provider"/>
        </w:rPr>
        <w:t xml:space="preserve"> of the review period</w:t>
      </w:r>
      <w:r w:rsidR="00345E1F" w:rsidRPr="00577C30">
        <w:rPr>
          <w:rStyle w:val="ui-provider"/>
        </w:rPr>
        <w:t xml:space="preserve"> to the Assessment </w:t>
      </w:r>
      <w:r w:rsidR="00905271" w:rsidRPr="00577C30">
        <w:rPr>
          <w:rStyle w:val="ui-provider"/>
        </w:rPr>
        <w:t>C</w:t>
      </w:r>
      <w:r w:rsidR="00345E1F" w:rsidRPr="00577C30">
        <w:rPr>
          <w:rStyle w:val="ui-provider"/>
        </w:rPr>
        <w:t xml:space="preserve">learinghouse in </w:t>
      </w:r>
      <w:r w:rsidR="00905271" w:rsidRPr="00577C30">
        <w:rPr>
          <w:rStyle w:val="ui-provider"/>
        </w:rPr>
        <w:t>an</w:t>
      </w:r>
      <w:r w:rsidR="00345E1F" w:rsidRPr="00577C30">
        <w:rPr>
          <w:rStyle w:val="ui-provider"/>
        </w:rPr>
        <w:t xml:space="preserve"> </w:t>
      </w:r>
      <w:r w:rsidR="00905271" w:rsidRPr="00577C30">
        <w:rPr>
          <w:rStyle w:val="ui-provider"/>
        </w:rPr>
        <w:t>a</w:t>
      </w:r>
      <w:r w:rsidR="00345E1F" w:rsidRPr="00577C30">
        <w:rPr>
          <w:rStyle w:val="ui-provider"/>
        </w:rPr>
        <w:t>ppendix.</w:t>
      </w:r>
    </w:p>
    <w:p w14:paraId="795BBAF4" w14:textId="7A4A3410" w:rsidR="00F258C4" w:rsidRPr="00577C30" w:rsidRDefault="00F258C4" w:rsidP="00577C30">
      <w:pPr>
        <w:pStyle w:val="ListParagraph"/>
        <w:numPr>
          <w:ilvl w:val="0"/>
          <w:numId w:val="23"/>
        </w:numPr>
      </w:pPr>
      <w:bookmarkStart w:id="2" w:name="_Hlk125291258"/>
      <w:r w:rsidRPr="00577C30">
        <w:rPr>
          <w:spacing w:val="-2"/>
        </w:rPr>
        <w:t xml:space="preserve">Describe the assessment policies and procedures </w:t>
      </w:r>
      <w:r w:rsidR="00342E91" w:rsidRPr="00577C30">
        <w:rPr>
          <w:spacing w:val="-2"/>
        </w:rPr>
        <w:t xml:space="preserve">used </w:t>
      </w:r>
      <w:r w:rsidRPr="00577C30">
        <w:rPr>
          <w:spacing w:val="-2"/>
        </w:rPr>
        <w:t>to assess student achievement of learning</w:t>
      </w:r>
      <w:r w:rsidR="004D7491" w:rsidRPr="00577C30">
        <w:rPr>
          <w:spacing w:val="-2"/>
        </w:rPr>
        <w:t xml:space="preserve"> in each program</w:t>
      </w:r>
      <w:r w:rsidRPr="00577C30">
        <w:rPr>
          <w:spacing w:val="-2"/>
        </w:rPr>
        <w:t xml:space="preserve">, </w:t>
      </w:r>
      <w:r w:rsidR="00342E91" w:rsidRPr="00577C30">
        <w:rPr>
          <w:spacing w:val="-2"/>
        </w:rPr>
        <w:t>includ</w:t>
      </w:r>
      <w:r w:rsidR="004D7491" w:rsidRPr="00577C30">
        <w:rPr>
          <w:spacing w:val="-2"/>
        </w:rPr>
        <w:t>ing</w:t>
      </w:r>
      <w:r w:rsidR="00342E91" w:rsidRPr="00577C30">
        <w:rPr>
          <w:spacing w:val="-2"/>
        </w:rPr>
        <w:t xml:space="preserve"> (but not limited to) the policies and practices for collecting, aggregating, and disseminating assessment data and for using assessment data for program improvement</w:t>
      </w:r>
      <w:r w:rsidR="002B13D2" w:rsidRPr="00577C30">
        <w:rPr>
          <w:spacing w:val="-2"/>
        </w:rPr>
        <w:t>.</w:t>
      </w:r>
    </w:p>
    <w:p w14:paraId="329ABED6" w14:textId="477BDF48" w:rsidR="002B13D2" w:rsidRPr="00577C30" w:rsidRDefault="002B13D2" w:rsidP="00577C30">
      <w:pPr>
        <w:pStyle w:val="ListParagraph"/>
        <w:numPr>
          <w:ilvl w:val="0"/>
          <w:numId w:val="23"/>
        </w:numPr>
      </w:pPr>
      <w:r w:rsidRPr="00577C30">
        <w:rPr>
          <w:spacing w:val="-2"/>
        </w:rPr>
        <w:t>Describe the</w:t>
      </w:r>
      <w:r w:rsidR="008C04D4" w:rsidRPr="00577C30">
        <w:rPr>
          <w:spacing w:val="-2"/>
        </w:rPr>
        <w:t xml:space="preserve"> overall</w:t>
      </w:r>
      <w:r w:rsidRPr="00577C30">
        <w:rPr>
          <w:spacing w:val="-2"/>
        </w:rPr>
        <w:t xml:space="preserve"> assessment plan for each program.</w:t>
      </w:r>
    </w:p>
    <w:p w14:paraId="00918E4E" w14:textId="20866E3A" w:rsidR="002B13D2" w:rsidRPr="00577C30" w:rsidRDefault="002B13D2" w:rsidP="00577C30">
      <w:pPr>
        <w:pStyle w:val="ListParagraph"/>
        <w:numPr>
          <w:ilvl w:val="0"/>
          <w:numId w:val="23"/>
        </w:numPr>
      </w:pPr>
      <w:r w:rsidRPr="00577C30">
        <w:rPr>
          <w:spacing w:val="-2"/>
        </w:rPr>
        <w:t>List and describe evidence of student learning outcomes for each program</w:t>
      </w:r>
      <w:r w:rsidR="008C04D4" w:rsidRPr="00577C30">
        <w:rPr>
          <w:spacing w:val="-2"/>
        </w:rPr>
        <w:t xml:space="preserve"> learning outcome in each program</w:t>
      </w:r>
      <w:r w:rsidRPr="00577C30">
        <w:rPr>
          <w:spacing w:val="-2"/>
        </w:rPr>
        <w:t>.</w:t>
      </w:r>
    </w:p>
    <w:p w14:paraId="0801EB9B" w14:textId="77777777" w:rsidR="00CC747D" w:rsidRPr="00577C30" w:rsidRDefault="002B13D2" w:rsidP="00577C30">
      <w:pPr>
        <w:pStyle w:val="ListParagraph"/>
        <w:numPr>
          <w:ilvl w:val="0"/>
          <w:numId w:val="23"/>
        </w:numPr>
      </w:pPr>
      <w:r w:rsidRPr="00577C30">
        <w:rPr>
          <w:spacing w:val="-2"/>
        </w:rPr>
        <w:t>List and describe use of student learning evidence for continuous program improvement for each program.</w:t>
      </w:r>
    </w:p>
    <w:p w14:paraId="084A7C5F" w14:textId="1D79CC6F" w:rsidR="00CC747D" w:rsidRPr="00577C30" w:rsidRDefault="00CC747D" w:rsidP="00577C30">
      <w:pPr>
        <w:pStyle w:val="ListParagraph"/>
        <w:numPr>
          <w:ilvl w:val="0"/>
          <w:numId w:val="23"/>
        </w:numPr>
      </w:pPr>
      <w:r w:rsidRPr="00577C30">
        <w:t>Describe any significant changes to the assurance of learning since the last review.</w:t>
      </w:r>
    </w:p>
    <w:bookmarkEnd w:id="2"/>
    <w:p w14:paraId="0509A95E" w14:textId="77777777" w:rsidR="00F258C4" w:rsidRPr="00577C30" w:rsidRDefault="00F258C4" w:rsidP="00577C30">
      <w:pPr>
        <w:pStyle w:val="ListParagraph"/>
        <w:ind w:left="360" w:firstLine="0"/>
      </w:pPr>
    </w:p>
    <w:p w14:paraId="5E85765C" w14:textId="075E7088" w:rsidR="00A1326E" w:rsidRPr="00577C30" w:rsidRDefault="00A1326E" w:rsidP="00577C30">
      <w:pPr>
        <w:pStyle w:val="ListParagraph"/>
        <w:numPr>
          <w:ilvl w:val="0"/>
          <w:numId w:val="17"/>
        </w:numPr>
        <w:ind w:hanging="180"/>
        <w:rPr>
          <w:sz w:val="24"/>
          <w:szCs w:val="24"/>
          <w:u w:val="single"/>
        </w:rPr>
      </w:pPr>
      <w:r w:rsidRPr="00577C30">
        <w:rPr>
          <w:spacing w:val="-2"/>
          <w:sz w:val="24"/>
          <w:szCs w:val="24"/>
          <w:u w:val="single"/>
        </w:rPr>
        <w:t>Faculty</w:t>
      </w:r>
    </w:p>
    <w:p w14:paraId="037E0507" w14:textId="73458779" w:rsidR="002B13D2" w:rsidRPr="00577C30" w:rsidRDefault="002B13D2" w:rsidP="00577C30">
      <w:pPr>
        <w:pStyle w:val="ListParagraph"/>
        <w:numPr>
          <w:ilvl w:val="0"/>
          <w:numId w:val="24"/>
        </w:numPr>
      </w:pPr>
      <w:r w:rsidRPr="00577C30">
        <w:rPr>
          <w:spacing w:val="-2"/>
        </w:rPr>
        <w:t xml:space="preserve">List the </w:t>
      </w:r>
      <w:r w:rsidR="00727007" w:rsidRPr="00577C30">
        <w:rPr>
          <w:spacing w:val="-2"/>
        </w:rPr>
        <w:t>names</w:t>
      </w:r>
      <w:r w:rsidR="00342E91" w:rsidRPr="00577C30">
        <w:rPr>
          <w:spacing w:val="-2"/>
        </w:rPr>
        <w:t>,</w:t>
      </w:r>
      <w:r w:rsidR="00727007" w:rsidRPr="00577C30">
        <w:rPr>
          <w:spacing w:val="-2"/>
        </w:rPr>
        <w:t xml:space="preserve"> titles</w:t>
      </w:r>
      <w:r w:rsidR="00342E91" w:rsidRPr="00577C30">
        <w:rPr>
          <w:spacing w:val="-2"/>
        </w:rPr>
        <w:t>, and classification</w:t>
      </w:r>
      <w:r w:rsidR="00727007" w:rsidRPr="00577C30">
        <w:rPr>
          <w:spacing w:val="-2"/>
        </w:rPr>
        <w:t xml:space="preserve"> of </w:t>
      </w:r>
      <w:r w:rsidRPr="00577C30">
        <w:rPr>
          <w:spacing w:val="-2"/>
        </w:rPr>
        <w:t xml:space="preserve">faculty </w:t>
      </w:r>
      <w:r w:rsidR="00041AFB" w:rsidRPr="00577C30">
        <w:rPr>
          <w:spacing w:val="-2"/>
        </w:rPr>
        <w:t xml:space="preserve">currently </w:t>
      </w:r>
      <w:r w:rsidRPr="00577C30">
        <w:rPr>
          <w:spacing w:val="-2"/>
        </w:rPr>
        <w:t xml:space="preserve">responsible for delivering </w:t>
      </w:r>
      <w:r w:rsidR="00727007" w:rsidRPr="00577C30">
        <w:rPr>
          <w:spacing w:val="-2"/>
        </w:rPr>
        <w:t>the curriculum (excluding general education requirements) for each program.</w:t>
      </w:r>
    </w:p>
    <w:p w14:paraId="465B84FD" w14:textId="51446E8C" w:rsidR="00727007" w:rsidRPr="00577C30" w:rsidRDefault="00727007" w:rsidP="00577C30">
      <w:pPr>
        <w:pStyle w:val="ListParagraph"/>
        <w:numPr>
          <w:ilvl w:val="0"/>
          <w:numId w:val="24"/>
        </w:numPr>
      </w:pPr>
      <w:r w:rsidRPr="00577C30">
        <w:rPr>
          <w:spacing w:val="-2"/>
        </w:rPr>
        <w:lastRenderedPageBreak/>
        <w:t xml:space="preserve">Broadly describe the workload distributions of each of the faculty responsible for delivering the curriculum (excluding general education requirements) for each program. Please note typical expectations for each faculty member (e.g., teaching load, advising, co-curricular advising, </w:t>
      </w:r>
      <w:r w:rsidR="008C04D4" w:rsidRPr="00577C30">
        <w:rPr>
          <w:spacing w:val="-2"/>
        </w:rPr>
        <w:t>r</w:t>
      </w:r>
      <w:r w:rsidRPr="00577C30">
        <w:rPr>
          <w:spacing w:val="-2"/>
        </w:rPr>
        <w:t>esearch</w:t>
      </w:r>
      <w:r w:rsidR="008C04D4" w:rsidRPr="00577C30">
        <w:rPr>
          <w:spacing w:val="-2"/>
        </w:rPr>
        <w:t xml:space="preserve"> supervision</w:t>
      </w:r>
      <w:r w:rsidRPr="00577C30">
        <w:rPr>
          <w:spacing w:val="-2"/>
        </w:rPr>
        <w:t>, etc.) that support each program.</w:t>
      </w:r>
    </w:p>
    <w:p w14:paraId="2D1A0882" w14:textId="46EE6D91" w:rsidR="00727007" w:rsidRPr="00577C30" w:rsidRDefault="00727007" w:rsidP="00577C30">
      <w:pPr>
        <w:pStyle w:val="ListParagraph"/>
        <w:numPr>
          <w:ilvl w:val="0"/>
          <w:numId w:val="24"/>
        </w:numPr>
      </w:pPr>
      <w:r w:rsidRPr="00577C30">
        <w:t xml:space="preserve">Describe how each faculty responsible for delivering the curriculum (excluding general education requirements) </w:t>
      </w:r>
      <w:r w:rsidR="00342E91" w:rsidRPr="00577C30">
        <w:t>for</w:t>
      </w:r>
      <w:r w:rsidRPr="00577C30">
        <w:t xml:space="preserve"> each program meets </w:t>
      </w:r>
      <w:r w:rsidR="00342E91" w:rsidRPr="00577C30">
        <w:t xml:space="preserve">or exceeds </w:t>
      </w:r>
      <w:r w:rsidRPr="00577C30">
        <w:t>minimum credential requirements</w:t>
      </w:r>
      <w:r w:rsidRPr="00577C30">
        <w:rPr>
          <w:rStyle w:val="FootnoteReference"/>
        </w:rPr>
        <w:footnoteReference w:id="2"/>
      </w:r>
      <w:r w:rsidRPr="00577C30">
        <w:t>.</w:t>
      </w:r>
      <w:r w:rsidR="00342E91" w:rsidRPr="00577C30">
        <w:t xml:space="preserve"> If faculty are required to maintain </w:t>
      </w:r>
      <w:r w:rsidR="008C04D4" w:rsidRPr="00577C30">
        <w:t>additional requirements</w:t>
      </w:r>
      <w:r w:rsidR="00342E91" w:rsidRPr="00577C30">
        <w:t xml:space="preserve"> (e.g., licensures, continuing education, RSCA contributions, etc.) to meet minimum </w:t>
      </w:r>
      <w:r w:rsidR="008C04D4" w:rsidRPr="00577C30">
        <w:t>credentials</w:t>
      </w:r>
      <w:r w:rsidR="00342E91" w:rsidRPr="00577C30">
        <w:t xml:space="preserve">, describe the </w:t>
      </w:r>
      <w:r w:rsidR="008C04D4" w:rsidRPr="00577C30">
        <w:t xml:space="preserve">requirement </w:t>
      </w:r>
      <w:r w:rsidR="00342E91" w:rsidRPr="00577C30">
        <w:t>and the system for verifying and reporting credentials.</w:t>
      </w:r>
    </w:p>
    <w:p w14:paraId="37A473A2" w14:textId="674AD6D5" w:rsidR="00CC747D" w:rsidRPr="00577C30" w:rsidRDefault="00CC747D" w:rsidP="00577C30">
      <w:pPr>
        <w:pStyle w:val="ListParagraph"/>
        <w:numPr>
          <w:ilvl w:val="0"/>
          <w:numId w:val="24"/>
        </w:numPr>
      </w:pPr>
      <w:r w:rsidRPr="00577C30">
        <w:t>Describe any significant changes to the faculty</w:t>
      </w:r>
      <w:r w:rsidR="004928BF" w:rsidRPr="00577C30">
        <w:t xml:space="preserve"> </w:t>
      </w:r>
      <w:r w:rsidRPr="00577C30">
        <w:t>since the last review.</w:t>
      </w:r>
    </w:p>
    <w:p w14:paraId="4D0FD3CB" w14:textId="77777777" w:rsidR="002B13D2" w:rsidRPr="00577C30" w:rsidRDefault="002B13D2" w:rsidP="00577C30">
      <w:pPr>
        <w:pStyle w:val="ListParagraph"/>
        <w:ind w:left="360" w:firstLine="0"/>
      </w:pPr>
    </w:p>
    <w:p w14:paraId="762C59F5" w14:textId="4951D843" w:rsidR="00A1326E" w:rsidRPr="00577C30" w:rsidRDefault="00A1326E" w:rsidP="00577C30">
      <w:pPr>
        <w:pStyle w:val="ListParagraph"/>
        <w:numPr>
          <w:ilvl w:val="0"/>
          <w:numId w:val="17"/>
        </w:numPr>
        <w:ind w:hanging="180"/>
        <w:rPr>
          <w:sz w:val="24"/>
          <w:szCs w:val="24"/>
          <w:u w:val="single"/>
        </w:rPr>
      </w:pPr>
      <w:r w:rsidRPr="00577C30">
        <w:rPr>
          <w:spacing w:val="-2"/>
          <w:sz w:val="24"/>
          <w:szCs w:val="24"/>
          <w:u w:val="single"/>
        </w:rPr>
        <w:t>Student Services</w:t>
      </w:r>
    </w:p>
    <w:p w14:paraId="1D47A4F4" w14:textId="3025872B" w:rsidR="00342E91" w:rsidRPr="00577C30" w:rsidRDefault="00342E91" w:rsidP="00577C30">
      <w:pPr>
        <w:pStyle w:val="ListParagraph"/>
        <w:numPr>
          <w:ilvl w:val="1"/>
          <w:numId w:val="25"/>
        </w:numPr>
      </w:pPr>
      <w:bookmarkStart w:id="3" w:name="_Hlk125293860"/>
      <w:r w:rsidRPr="00577C30">
        <w:t>Describe admissions requirements</w:t>
      </w:r>
      <w:r w:rsidR="005771BE" w:rsidRPr="00577C30">
        <w:rPr>
          <w:rStyle w:val="FootnoteReference"/>
        </w:rPr>
        <w:footnoteReference w:id="3"/>
      </w:r>
      <w:r w:rsidRPr="00577C30">
        <w:t xml:space="preserve"> for each program. If applicable, highlight differences between the </w:t>
      </w:r>
      <w:r w:rsidR="00CC747D" w:rsidRPr="00577C30">
        <w:t xml:space="preserve">program </w:t>
      </w:r>
      <w:r w:rsidRPr="00577C30">
        <w:t>admission requirements and university-wide admission requirements.</w:t>
      </w:r>
    </w:p>
    <w:p w14:paraId="1DD3FCC3" w14:textId="0A60EC67" w:rsidR="00CC747D" w:rsidRPr="00577C30" w:rsidRDefault="00CC747D" w:rsidP="00577C30">
      <w:pPr>
        <w:pStyle w:val="ListParagraph"/>
        <w:numPr>
          <w:ilvl w:val="1"/>
          <w:numId w:val="25"/>
        </w:numPr>
      </w:pPr>
      <w:r w:rsidRPr="00577C30">
        <w:t>Describe transfer policies</w:t>
      </w:r>
      <w:r w:rsidR="005771BE" w:rsidRPr="00577C30">
        <w:rPr>
          <w:rStyle w:val="FootnoteReference"/>
        </w:rPr>
        <w:footnoteReference w:id="4"/>
      </w:r>
      <w:r w:rsidRPr="00577C30">
        <w:t xml:space="preserve"> for each program. If applicable, highlight differences between the program transfer policies and university-wide transfer policies.</w:t>
      </w:r>
    </w:p>
    <w:p w14:paraId="382D2C47" w14:textId="71057ABF" w:rsidR="00342E91" w:rsidRPr="00577C30" w:rsidRDefault="00CC747D" w:rsidP="00577C30">
      <w:pPr>
        <w:pStyle w:val="ListParagraph"/>
        <w:numPr>
          <w:ilvl w:val="1"/>
          <w:numId w:val="25"/>
        </w:numPr>
      </w:pPr>
      <w:r w:rsidRPr="00577C30">
        <w:t>Describe the student administrative services</w:t>
      </w:r>
      <w:r w:rsidR="005771BE" w:rsidRPr="00577C30">
        <w:rPr>
          <w:rStyle w:val="FootnoteReference"/>
        </w:rPr>
        <w:footnoteReference w:id="5"/>
      </w:r>
      <w:r w:rsidR="005771BE" w:rsidRPr="00577C30">
        <w:t xml:space="preserve"> </w:t>
      </w:r>
      <w:r w:rsidRPr="00577C30">
        <w:t>(e.g., admissions, financial aid, registration, etc.)</w:t>
      </w:r>
      <w:r w:rsidR="005771BE" w:rsidRPr="005771BE">
        <w:rPr>
          <w:rStyle w:val="FootnoteReference"/>
        </w:rPr>
        <w:t xml:space="preserve"> </w:t>
      </w:r>
      <w:r w:rsidRPr="00577C30">
        <w:t xml:space="preserve">available to support each program. If applicable, highlight differences between student administrative services offered by the program and student administrative services offered by the </w:t>
      </w:r>
      <w:r w:rsidR="00AF06EA" w:rsidRPr="00577C30">
        <w:t>university</w:t>
      </w:r>
      <w:r w:rsidRPr="00577C30">
        <w:t>.</w:t>
      </w:r>
    </w:p>
    <w:p w14:paraId="58333271" w14:textId="00FA36E4" w:rsidR="00CC747D" w:rsidRPr="00577C30" w:rsidRDefault="00CC747D" w:rsidP="00577C30">
      <w:pPr>
        <w:pStyle w:val="ListParagraph"/>
        <w:numPr>
          <w:ilvl w:val="1"/>
          <w:numId w:val="25"/>
        </w:numPr>
      </w:pPr>
      <w:r w:rsidRPr="00577C30">
        <w:t>Describe the student academic services</w:t>
      </w:r>
      <w:r w:rsidR="005771BE" w:rsidRPr="00577C30">
        <w:rPr>
          <w:rStyle w:val="FootnoteReference"/>
        </w:rPr>
        <w:footnoteReference w:id="6"/>
      </w:r>
      <w:r w:rsidRPr="00577C30">
        <w:t xml:space="preserve"> (e.g., career services, counseling, tutoring, accessibility services, etc.) available to support each program. If applicable, highlight differences between student academic services offered by the program and student academic services offered by the </w:t>
      </w:r>
      <w:r w:rsidR="00AF06EA" w:rsidRPr="00577C30">
        <w:t>university</w:t>
      </w:r>
      <w:r w:rsidRPr="00577C30">
        <w:t>.</w:t>
      </w:r>
    </w:p>
    <w:p w14:paraId="17F7AD26" w14:textId="360F5F0D" w:rsidR="00CC747D" w:rsidRPr="00577C30" w:rsidRDefault="00CC747D" w:rsidP="00577C30">
      <w:pPr>
        <w:pStyle w:val="ListParagraph"/>
        <w:numPr>
          <w:ilvl w:val="1"/>
          <w:numId w:val="25"/>
        </w:numPr>
      </w:pPr>
      <w:r w:rsidRPr="00577C30">
        <w:t>Describe any significant changes to student services since the last review.</w:t>
      </w:r>
    </w:p>
    <w:bookmarkEnd w:id="3"/>
    <w:p w14:paraId="68C53C17" w14:textId="77777777" w:rsidR="00342E91" w:rsidRPr="00577C30" w:rsidRDefault="00342E91" w:rsidP="00577C30">
      <w:pPr>
        <w:pStyle w:val="ListParagraph"/>
        <w:ind w:left="360" w:firstLine="0"/>
      </w:pPr>
    </w:p>
    <w:p w14:paraId="083D832D" w14:textId="77777777" w:rsidR="005771BE" w:rsidRPr="005771BE" w:rsidRDefault="005771BE">
      <w:pPr>
        <w:rPr>
          <w:sz w:val="24"/>
          <w:szCs w:val="24"/>
        </w:rPr>
      </w:pPr>
      <w:r w:rsidRPr="005771BE">
        <w:rPr>
          <w:sz w:val="24"/>
          <w:szCs w:val="24"/>
        </w:rPr>
        <w:br w:type="page"/>
      </w:r>
    </w:p>
    <w:p w14:paraId="685105F5" w14:textId="3E20B7F2" w:rsidR="002B13D2" w:rsidRPr="00577C30" w:rsidRDefault="002B13D2" w:rsidP="00577C30">
      <w:pPr>
        <w:pStyle w:val="ListParagraph"/>
        <w:numPr>
          <w:ilvl w:val="0"/>
          <w:numId w:val="17"/>
        </w:numPr>
        <w:ind w:hanging="180"/>
        <w:rPr>
          <w:sz w:val="24"/>
          <w:szCs w:val="24"/>
          <w:u w:val="single"/>
        </w:rPr>
      </w:pPr>
      <w:r w:rsidRPr="00577C30">
        <w:rPr>
          <w:sz w:val="24"/>
          <w:szCs w:val="24"/>
          <w:u w:val="single"/>
        </w:rPr>
        <w:lastRenderedPageBreak/>
        <w:t>Student Success</w:t>
      </w:r>
    </w:p>
    <w:p w14:paraId="50C50354" w14:textId="04E87267" w:rsidR="004D7491" w:rsidRPr="00577C30" w:rsidRDefault="004D7491" w:rsidP="00577C30">
      <w:pPr>
        <w:pStyle w:val="ListParagraph"/>
        <w:numPr>
          <w:ilvl w:val="0"/>
          <w:numId w:val="27"/>
        </w:numPr>
        <w:rPr>
          <w:spacing w:val="-2"/>
        </w:rPr>
      </w:pPr>
      <w:bookmarkStart w:id="4" w:name="_Hlk125294607"/>
      <w:r w:rsidRPr="00577C30">
        <w:rPr>
          <w:spacing w:val="-2"/>
        </w:rPr>
        <w:t>List (and describe, if necessary) current and historical metrics used to measure and evaluate aggregate student success in each program, such as retention rates, graduation rates, time to degree, number of degrees conferrals annually, etc. Please identify any equity gaps by student population.</w:t>
      </w:r>
    </w:p>
    <w:p w14:paraId="1F4C77A6" w14:textId="56A2375E" w:rsidR="004D7491" w:rsidRPr="00577C30" w:rsidRDefault="004D7491" w:rsidP="00577C30">
      <w:pPr>
        <w:pStyle w:val="ListParagraph"/>
        <w:numPr>
          <w:ilvl w:val="0"/>
          <w:numId w:val="27"/>
        </w:numPr>
        <w:rPr>
          <w:spacing w:val="-2"/>
        </w:rPr>
      </w:pPr>
      <w:r w:rsidRPr="00577C30">
        <w:rPr>
          <w:spacing w:val="-2"/>
        </w:rPr>
        <w:t>List and describe policies and procedures to measure or guide individual student success in each program, such as graduation plans,</w:t>
      </w:r>
      <w:r w:rsidR="009C6105" w:rsidRPr="00577C30">
        <w:rPr>
          <w:spacing w:val="-2"/>
        </w:rPr>
        <w:t xml:space="preserve"> interventions,</w:t>
      </w:r>
      <w:r w:rsidRPr="00577C30">
        <w:rPr>
          <w:spacing w:val="-2"/>
        </w:rPr>
        <w:t xml:space="preserve"> remediation plans, emerging funding, supplemental instruction, etc. </w:t>
      </w:r>
    </w:p>
    <w:bookmarkEnd w:id="4"/>
    <w:p w14:paraId="00CC4BA3" w14:textId="27FC2966" w:rsidR="009C6105" w:rsidRPr="00577C30" w:rsidRDefault="009C6105" w:rsidP="00577C30">
      <w:pPr>
        <w:pStyle w:val="ListParagraph"/>
        <w:numPr>
          <w:ilvl w:val="0"/>
          <w:numId w:val="27"/>
        </w:numPr>
        <w:rPr>
          <w:spacing w:val="-2"/>
        </w:rPr>
      </w:pPr>
      <w:r w:rsidRPr="00577C30">
        <w:rPr>
          <w:spacing w:val="-2"/>
        </w:rPr>
        <w:t xml:space="preserve">List current and historical metrics used to measure and evaluate aggregate student outcomes for each program, such as </w:t>
      </w:r>
      <w:r w:rsidR="005D50E5" w:rsidRPr="00577C30">
        <w:rPr>
          <w:spacing w:val="-2"/>
        </w:rPr>
        <w:t>employment outcomes</w:t>
      </w:r>
      <w:r w:rsidRPr="00577C30">
        <w:rPr>
          <w:spacing w:val="-2"/>
        </w:rPr>
        <w:t>, licensure pass rates, etc. Please identify any equity gaps by student population.</w:t>
      </w:r>
    </w:p>
    <w:p w14:paraId="5E83AF51" w14:textId="73B8C0E3" w:rsidR="00CC747D" w:rsidRPr="00577C30" w:rsidRDefault="00CC747D" w:rsidP="00577C30">
      <w:pPr>
        <w:pStyle w:val="ListParagraph"/>
        <w:numPr>
          <w:ilvl w:val="0"/>
          <w:numId w:val="27"/>
        </w:numPr>
      </w:pPr>
      <w:r w:rsidRPr="00577C30">
        <w:t xml:space="preserve">Describe any significant changes to </w:t>
      </w:r>
      <w:r w:rsidR="004D7491" w:rsidRPr="00577C30">
        <w:t>student success</w:t>
      </w:r>
      <w:r w:rsidRPr="00577C30">
        <w:t xml:space="preserve"> since the last review.</w:t>
      </w:r>
    </w:p>
    <w:p w14:paraId="49E02872" w14:textId="77777777" w:rsidR="00CC747D" w:rsidRPr="00577C30" w:rsidRDefault="00CC747D" w:rsidP="00577C30">
      <w:pPr>
        <w:pStyle w:val="ListParagraph"/>
        <w:ind w:left="360" w:firstLine="0"/>
      </w:pPr>
    </w:p>
    <w:p w14:paraId="632C1BB2" w14:textId="7E0D594C" w:rsidR="00A1326E" w:rsidRPr="00577C30" w:rsidRDefault="005F694D" w:rsidP="00577C30">
      <w:pPr>
        <w:pStyle w:val="ListParagraph"/>
        <w:numPr>
          <w:ilvl w:val="0"/>
          <w:numId w:val="17"/>
        </w:numPr>
        <w:ind w:hanging="180"/>
        <w:rPr>
          <w:sz w:val="24"/>
          <w:szCs w:val="24"/>
        </w:rPr>
      </w:pPr>
      <w:bookmarkStart w:id="5" w:name="_Hlk125295336"/>
      <w:r w:rsidRPr="005771BE">
        <w:rPr>
          <w:sz w:val="24"/>
          <w:szCs w:val="24"/>
          <w:u w:val="single"/>
        </w:rPr>
        <w:t>Resources</w:t>
      </w:r>
      <w:r w:rsidR="00CC747D" w:rsidRPr="005771BE">
        <w:rPr>
          <w:sz w:val="24"/>
          <w:szCs w:val="24"/>
          <w:u w:val="single"/>
        </w:rPr>
        <w:t xml:space="preserve"> </w:t>
      </w:r>
      <w:r w:rsidRPr="005771BE">
        <w:rPr>
          <w:sz w:val="24"/>
          <w:szCs w:val="24"/>
          <w:u w:val="single"/>
        </w:rPr>
        <w:t>and Facilities</w:t>
      </w:r>
      <w:r w:rsidR="004D7491" w:rsidRPr="00577C30">
        <w:rPr>
          <w:sz w:val="24"/>
          <w:szCs w:val="24"/>
        </w:rPr>
        <w:t xml:space="preserve"> </w:t>
      </w:r>
      <w:r w:rsidR="004D7491" w:rsidRPr="00577C30">
        <w:rPr>
          <w:i/>
          <w:iCs/>
          <w:sz w:val="24"/>
          <w:szCs w:val="24"/>
        </w:rPr>
        <w:t>(optional)</w:t>
      </w:r>
    </w:p>
    <w:p w14:paraId="3C0CB479" w14:textId="4CF7C8BD" w:rsidR="004D7491" w:rsidRPr="00577C30" w:rsidRDefault="004D7491" w:rsidP="00577C30">
      <w:pPr>
        <w:pStyle w:val="ListParagraph"/>
        <w:numPr>
          <w:ilvl w:val="0"/>
          <w:numId w:val="28"/>
        </w:numPr>
        <w:rPr>
          <w:spacing w:val="-2"/>
        </w:rPr>
      </w:pPr>
      <w:r w:rsidRPr="00577C30">
        <w:rPr>
          <w:spacing w:val="-2"/>
        </w:rPr>
        <w:t xml:space="preserve">List and describe program-specific resources </w:t>
      </w:r>
      <w:r w:rsidR="009C6105" w:rsidRPr="00577C30">
        <w:rPr>
          <w:spacing w:val="-2"/>
        </w:rPr>
        <w:t xml:space="preserve">(e.g., technology, financial aid, etc.) beyond university-wide resources that are </w:t>
      </w:r>
      <w:r w:rsidRPr="00577C30">
        <w:rPr>
          <w:spacing w:val="-2"/>
        </w:rPr>
        <w:t>necessary to achieve student learning outcomes for each program.</w:t>
      </w:r>
    </w:p>
    <w:p w14:paraId="476C8AE8" w14:textId="1D1AB5FE" w:rsidR="004D7491" w:rsidRPr="00577C30" w:rsidRDefault="004D7491" w:rsidP="00577C30">
      <w:pPr>
        <w:pStyle w:val="ListParagraph"/>
        <w:numPr>
          <w:ilvl w:val="0"/>
          <w:numId w:val="28"/>
        </w:numPr>
        <w:rPr>
          <w:spacing w:val="-2"/>
        </w:rPr>
      </w:pPr>
      <w:r w:rsidRPr="00577C30">
        <w:rPr>
          <w:spacing w:val="-2"/>
        </w:rPr>
        <w:t xml:space="preserve">List and describe program-specific facilities (e.g., classrooms, laboratories, etc.) </w:t>
      </w:r>
      <w:r w:rsidR="009C6105" w:rsidRPr="00577C30">
        <w:rPr>
          <w:spacing w:val="-2"/>
        </w:rPr>
        <w:t xml:space="preserve">beyond university-wide resources that are </w:t>
      </w:r>
      <w:r w:rsidRPr="00577C30">
        <w:rPr>
          <w:spacing w:val="-2"/>
        </w:rPr>
        <w:t xml:space="preserve">necessary </w:t>
      </w:r>
      <w:r w:rsidR="009C6105" w:rsidRPr="00577C30">
        <w:rPr>
          <w:spacing w:val="-2"/>
        </w:rPr>
        <w:t>to achieve student learning outcomes for each program</w:t>
      </w:r>
      <w:r w:rsidRPr="00577C30">
        <w:rPr>
          <w:spacing w:val="-2"/>
        </w:rPr>
        <w:t>.</w:t>
      </w:r>
    </w:p>
    <w:bookmarkEnd w:id="5"/>
    <w:p w14:paraId="6127BFB4" w14:textId="77777777" w:rsidR="004D7491" w:rsidRPr="00577C30" w:rsidRDefault="004D7491" w:rsidP="00577C30">
      <w:pPr>
        <w:pStyle w:val="ListParagraph"/>
        <w:ind w:left="360" w:firstLine="0"/>
      </w:pPr>
    </w:p>
    <w:p w14:paraId="58849154" w14:textId="409600AD" w:rsidR="009C6105" w:rsidRPr="005771BE" w:rsidRDefault="00850846" w:rsidP="00577C30">
      <w:pPr>
        <w:pStyle w:val="ListParagraph"/>
        <w:numPr>
          <w:ilvl w:val="0"/>
          <w:numId w:val="17"/>
        </w:numPr>
        <w:ind w:hanging="180"/>
        <w:rPr>
          <w:sz w:val="24"/>
          <w:szCs w:val="24"/>
          <w:u w:val="single"/>
        </w:rPr>
      </w:pPr>
      <w:r w:rsidRPr="005771BE">
        <w:rPr>
          <w:sz w:val="24"/>
          <w:szCs w:val="24"/>
          <w:u w:val="single"/>
        </w:rPr>
        <w:t>Program</w:t>
      </w:r>
      <w:r w:rsidR="009C6105" w:rsidRPr="005771BE">
        <w:rPr>
          <w:sz w:val="24"/>
          <w:szCs w:val="24"/>
          <w:u w:val="single"/>
        </w:rPr>
        <w:t xml:space="preserve"> </w:t>
      </w:r>
      <w:r w:rsidRPr="005771BE">
        <w:rPr>
          <w:sz w:val="24"/>
          <w:szCs w:val="24"/>
          <w:u w:val="single"/>
        </w:rPr>
        <w:t xml:space="preserve">Development / </w:t>
      </w:r>
      <w:r w:rsidR="009C6105" w:rsidRPr="005771BE">
        <w:rPr>
          <w:sz w:val="24"/>
          <w:szCs w:val="24"/>
          <w:u w:val="single"/>
        </w:rPr>
        <w:t>Improvement</w:t>
      </w:r>
    </w:p>
    <w:p w14:paraId="70C82EE3" w14:textId="2452647E" w:rsidR="009C6105" w:rsidRPr="00577C30" w:rsidRDefault="009C6105" w:rsidP="00577C30">
      <w:pPr>
        <w:pStyle w:val="ListParagraph"/>
        <w:numPr>
          <w:ilvl w:val="0"/>
          <w:numId w:val="29"/>
        </w:numPr>
        <w:rPr>
          <w:spacing w:val="-2"/>
        </w:rPr>
      </w:pPr>
      <w:r w:rsidRPr="00577C30">
        <w:rPr>
          <w:spacing w:val="-2"/>
        </w:rPr>
        <w:t xml:space="preserve">List and describe </w:t>
      </w:r>
      <w:r w:rsidR="00850846" w:rsidRPr="00577C30">
        <w:rPr>
          <w:spacing w:val="-2"/>
        </w:rPr>
        <w:t>short-term (less than one year) action plan(s) for program development/improvement for each program. Please identify role(s) responsible for managing and implementing short-term action plan(s).</w:t>
      </w:r>
    </w:p>
    <w:p w14:paraId="2940CEB6" w14:textId="1B5D0079" w:rsidR="00850846" w:rsidRPr="00577C30" w:rsidRDefault="00850846" w:rsidP="00577C30">
      <w:pPr>
        <w:pStyle w:val="ListParagraph"/>
        <w:numPr>
          <w:ilvl w:val="0"/>
          <w:numId w:val="29"/>
        </w:numPr>
        <w:rPr>
          <w:spacing w:val="-2"/>
        </w:rPr>
      </w:pPr>
      <w:r w:rsidRPr="00577C30">
        <w:rPr>
          <w:spacing w:val="-2"/>
        </w:rPr>
        <w:t xml:space="preserve">List and describe long-term (1-3 years) action plan(s) for program development/improvement for each program. Please identify role(s) responsible for managing and implementing </w:t>
      </w:r>
      <w:r w:rsidR="00257A3D" w:rsidRPr="00577C30">
        <w:rPr>
          <w:spacing w:val="-2"/>
        </w:rPr>
        <w:t>long</w:t>
      </w:r>
      <w:r w:rsidRPr="00577C30">
        <w:rPr>
          <w:spacing w:val="-2"/>
        </w:rPr>
        <w:t>-term action plan(s).</w:t>
      </w:r>
    </w:p>
    <w:p w14:paraId="623872C2" w14:textId="77777777" w:rsidR="0065788B" w:rsidRPr="00577C30" w:rsidRDefault="0065788B" w:rsidP="00577C30">
      <w:pPr>
        <w:rPr>
          <w:b/>
          <w:bCs/>
        </w:rPr>
      </w:pPr>
    </w:p>
    <w:p w14:paraId="0B5E4D06" w14:textId="77777777" w:rsidR="0065788B" w:rsidRPr="00577C30" w:rsidRDefault="0065788B" w:rsidP="00577C30">
      <w:pPr>
        <w:jc w:val="both"/>
        <w:rPr>
          <w:b/>
          <w:bCs/>
        </w:rPr>
      </w:pPr>
    </w:p>
    <w:p w14:paraId="4973129E" w14:textId="2A9759D7" w:rsidR="00A0685A" w:rsidRPr="00577C30" w:rsidRDefault="00A0685A" w:rsidP="00577C30">
      <w:pPr>
        <w:jc w:val="both"/>
        <w:rPr>
          <w:b/>
          <w:bCs/>
        </w:rPr>
      </w:pPr>
      <w:r w:rsidRPr="00577C30">
        <w:rPr>
          <w:b/>
          <w:bCs/>
        </w:rPr>
        <w:br w:type="page"/>
      </w:r>
    </w:p>
    <w:p w14:paraId="6961E7D1" w14:textId="1A1BA8B5" w:rsidR="00A1326E" w:rsidRPr="00577C30" w:rsidRDefault="00A0685A" w:rsidP="00577C30">
      <w:pPr>
        <w:jc w:val="both"/>
        <w:rPr>
          <w:b/>
          <w:bCs/>
        </w:rPr>
      </w:pPr>
      <w:r w:rsidRPr="00577C30">
        <w:rPr>
          <w:b/>
          <w:bCs/>
        </w:rPr>
        <w:lastRenderedPageBreak/>
        <w:t>Table 1: Program Course Requirements and Electives</w:t>
      </w:r>
    </w:p>
    <w:p w14:paraId="0D5B61FE" w14:textId="77777777" w:rsidR="00A1326E" w:rsidRPr="00577C30" w:rsidRDefault="00A1326E" w:rsidP="00577C30">
      <w:pPr>
        <w:jc w:val="both"/>
        <w:rPr>
          <w:b/>
          <w:bCs/>
        </w:rPr>
      </w:pPr>
    </w:p>
    <w:tbl>
      <w:tblPr>
        <w:tblStyle w:val="TableGrid1"/>
        <w:tblW w:w="0" w:type="auto"/>
        <w:jc w:val="center"/>
        <w:tblLayout w:type="fixed"/>
        <w:tblLook w:val="04A0" w:firstRow="1" w:lastRow="0" w:firstColumn="1" w:lastColumn="0" w:noHBand="0" w:noVBand="1"/>
      </w:tblPr>
      <w:tblGrid>
        <w:gridCol w:w="4968"/>
        <w:gridCol w:w="720"/>
        <w:gridCol w:w="3888"/>
      </w:tblGrid>
      <w:tr w:rsidR="001450D2" w:rsidRPr="00577C30" w14:paraId="451F0D54" w14:textId="332EA934" w:rsidTr="00AF4E74">
        <w:trPr>
          <w:trHeight w:val="20"/>
          <w:jc w:val="center"/>
        </w:trPr>
        <w:tc>
          <w:tcPr>
            <w:tcW w:w="4968" w:type="dxa"/>
            <w:shd w:val="clear" w:color="auto" w:fill="E7E6E6"/>
            <w:noWrap/>
            <w:hideMark/>
          </w:tcPr>
          <w:p w14:paraId="3A74C478" w14:textId="77777777" w:rsidR="001450D2" w:rsidRPr="00577C30" w:rsidRDefault="001450D2" w:rsidP="00577C30">
            <w:pPr>
              <w:jc w:val="both"/>
              <w:rPr>
                <w:rFonts w:eastAsia="Calibri"/>
                <w:b/>
                <w:bCs/>
              </w:rPr>
            </w:pPr>
            <w:r w:rsidRPr="00577C30">
              <w:rPr>
                <w:rFonts w:eastAsia="Calibri"/>
                <w:b/>
                <w:bCs/>
              </w:rPr>
              <w:t>General Education</w:t>
            </w:r>
          </w:p>
        </w:tc>
        <w:tc>
          <w:tcPr>
            <w:tcW w:w="720" w:type="dxa"/>
            <w:shd w:val="clear" w:color="auto" w:fill="E7E6E6"/>
            <w:noWrap/>
            <w:hideMark/>
          </w:tcPr>
          <w:p w14:paraId="5C4E5BA7" w14:textId="2D45702F" w:rsidR="001450D2" w:rsidRPr="00577C30" w:rsidRDefault="001450D2" w:rsidP="00577C30">
            <w:pPr>
              <w:jc w:val="both"/>
              <w:rPr>
                <w:rFonts w:eastAsia="Calibri"/>
                <w:b/>
                <w:bCs/>
              </w:rPr>
            </w:pPr>
            <w:r w:rsidRPr="00577C30">
              <w:rPr>
                <w:rFonts w:eastAsia="Calibri"/>
                <w:b/>
                <w:bCs/>
              </w:rPr>
              <w:t>Min Hrs</w:t>
            </w:r>
          </w:p>
        </w:tc>
        <w:tc>
          <w:tcPr>
            <w:tcW w:w="3888" w:type="dxa"/>
            <w:shd w:val="clear" w:color="auto" w:fill="E7E6E6"/>
          </w:tcPr>
          <w:p w14:paraId="201DF700" w14:textId="04CDAB6E" w:rsidR="001450D2" w:rsidRPr="00577C30" w:rsidRDefault="001450D2" w:rsidP="00577C30">
            <w:pPr>
              <w:jc w:val="both"/>
              <w:rPr>
                <w:rFonts w:eastAsia="Calibri"/>
                <w:b/>
                <w:bCs/>
              </w:rPr>
            </w:pPr>
            <w:r w:rsidRPr="00577C30">
              <w:rPr>
                <w:rFonts w:eastAsia="Calibri"/>
                <w:b/>
                <w:bCs/>
              </w:rPr>
              <w:t>Note(s)</w:t>
            </w:r>
          </w:p>
        </w:tc>
      </w:tr>
      <w:tr w:rsidR="001450D2" w:rsidRPr="00577C30" w14:paraId="3041FAB1" w14:textId="38997CF0" w:rsidTr="00AF4E74">
        <w:trPr>
          <w:trHeight w:val="20"/>
          <w:jc w:val="center"/>
        </w:trPr>
        <w:tc>
          <w:tcPr>
            <w:tcW w:w="4968" w:type="dxa"/>
            <w:noWrap/>
            <w:hideMark/>
          </w:tcPr>
          <w:p w14:paraId="534F2C6D" w14:textId="77777777" w:rsidR="001450D2" w:rsidRPr="00577C30" w:rsidRDefault="001450D2" w:rsidP="00577C30">
            <w:pPr>
              <w:jc w:val="both"/>
              <w:rPr>
                <w:rFonts w:eastAsia="Calibri"/>
              </w:rPr>
            </w:pPr>
            <w:r w:rsidRPr="00577C30">
              <w:rPr>
                <w:rFonts w:eastAsia="Calibri"/>
              </w:rPr>
              <w:t>ENG 1510 Writing and Rhetoric I</w:t>
            </w:r>
          </w:p>
        </w:tc>
        <w:tc>
          <w:tcPr>
            <w:tcW w:w="720" w:type="dxa"/>
            <w:noWrap/>
            <w:hideMark/>
          </w:tcPr>
          <w:p w14:paraId="7BB029D6" w14:textId="77777777" w:rsidR="001450D2" w:rsidRPr="00577C30" w:rsidRDefault="001450D2" w:rsidP="00577C30">
            <w:pPr>
              <w:jc w:val="both"/>
              <w:rPr>
                <w:rFonts w:eastAsia="Calibri"/>
              </w:rPr>
            </w:pPr>
            <w:r w:rsidRPr="00577C30">
              <w:rPr>
                <w:rFonts w:eastAsia="Calibri"/>
              </w:rPr>
              <w:t>3</w:t>
            </w:r>
          </w:p>
        </w:tc>
        <w:tc>
          <w:tcPr>
            <w:tcW w:w="3888" w:type="dxa"/>
          </w:tcPr>
          <w:p w14:paraId="735AD708" w14:textId="77777777" w:rsidR="001450D2" w:rsidRPr="00577C30" w:rsidRDefault="001450D2" w:rsidP="00577C30">
            <w:pPr>
              <w:jc w:val="both"/>
              <w:rPr>
                <w:rFonts w:eastAsia="Calibri"/>
              </w:rPr>
            </w:pPr>
          </w:p>
        </w:tc>
      </w:tr>
      <w:tr w:rsidR="001450D2" w:rsidRPr="00577C30" w14:paraId="6680A8FE" w14:textId="7EF8318F" w:rsidTr="00AF4E74">
        <w:trPr>
          <w:trHeight w:val="20"/>
          <w:jc w:val="center"/>
        </w:trPr>
        <w:tc>
          <w:tcPr>
            <w:tcW w:w="4968" w:type="dxa"/>
            <w:noWrap/>
            <w:hideMark/>
          </w:tcPr>
          <w:p w14:paraId="6E3B2D31" w14:textId="7DBAE250" w:rsidR="001450D2" w:rsidRPr="00577C30" w:rsidRDefault="001450D2" w:rsidP="00577C30">
            <w:pPr>
              <w:jc w:val="both"/>
              <w:rPr>
                <w:rFonts w:eastAsia="Calibri"/>
              </w:rPr>
            </w:pPr>
            <w:r w:rsidRPr="00577C30">
              <w:rPr>
                <w:rFonts w:eastAsia="Calibri"/>
              </w:rPr>
              <w:t xml:space="preserve">Any </w:t>
            </w:r>
            <w:r w:rsidRPr="00577C30">
              <w:rPr>
                <w:rFonts w:eastAsia="Calibri"/>
                <w:i/>
                <w:iCs/>
              </w:rPr>
              <w:t>Foundations: Intercultural Explorations</w:t>
            </w:r>
            <w:r w:rsidRPr="00577C30">
              <w:rPr>
                <w:rFonts w:eastAsia="Calibri"/>
              </w:rPr>
              <w:t xml:space="preserve"> course</w:t>
            </w:r>
          </w:p>
        </w:tc>
        <w:tc>
          <w:tcPr>
            <w:tcW w:w="720" w:type="dxa"/>
            <w:noWrap/>
            <w:hideMark/>
          </w:tcPr>
          <w:p w14:paraId="4508325B" w14:textId="77777777" w:rsidR="001450D2" w:rsidRPr="00577C30" w:rsidRDefault="001450D2" w:rsidP="00577C30">
            <w:pPr>
              <w:jc w:val="both"/>
              <w:rPr>
                <w:rFonts w:eastAsia="Calibri"/>
              </w:rPr>
            </w:pPr>
            <w:r w:rsidRPr="00577C30">
              <w:rPr>
                <w:rFonts w:eastAsia="Calibri"/>
              </w:rPr>
              <w:t>2</w:t>
            </w:r>
          </w:p>
        </w:tc>
        <w:tc>
          <w:tcPr>
            <w:tcW w:w="3888" w:type="dxa"/>
          </w:tcPr>
          <w:p w14:paraId="12922B45" w14:textId="77777777" w:rsidR="001450D2" w:rsidRPr="00577C30" w:rsidRDefault="001450D2" w:rsidP="00577C30">
            <w:pPr>
              <w:jc w:val="both"/>
              <w:rPr>
                <w:rFonts w:eastAsia="Calibri"/>
              </w:rPr>
            </w:pPr>
          </w:p>
        </w:tc>
      </w:tr>
      <w:tr w:rsidR="001450D2" w:rsidRPr="00577C30" w14:paraId="2BDD88AD" w14:textId="0C92B456" w:rsidTr="00AF4E74">
        <w:trPr>
          <w:trHeight w:val="20"/>
          <w:jc w:val="center"/>
        </w:trPr>
        <w:tc>
          <w:tcPr>
            <w:tcW w:w="4968" w:type="dxa"/>
            <w:noWrap/>
            <w:hideMark/>
          </w:tcPr>
          <w:p w14:paraId="70E0139A" w14:textId="3CE7E024" w:rsidR="001450D2" w:rsidRPr="00577C30" w:rsidRDefault="001450D2" w:rsidP="00577C30">
            <w:pPr>
              <w:jc w:val="both"/>
              <w:rPr>
                <w:rFonts w:eastAsia="Calibri"/>
              </w:rPr>
            </w:pPr>
            <w:r w:rsidRPr="00577C30">
              <w:rPr>
                <w:rFonts w:eastAsia="Calibri"/>
              </w:rPr>
              <w:t xml:space="preserve">Any </w:t>
            </w:r>
            <w:r w:rsidRPr="00577C30">
              <w:rPr>
                <w:rFonts w:eastAsia="Calibri"/>
                <w:i/>
                <w:iCs/>
              </w:rPr>
              <w:t>Pillar: Natural Science</w:t>
            </w:r>
            <w:r w:rsidRPr="00577C30">
              <w:rPr>
                <w:rFonts w:eastAsia="Calibri"/>
              </w:rPr>
              <w:t xml:space="preserve"> course</w:t>
            </w:r>
          </w:p>
        </w:tc>
        <w:tc>
          <w:tcPr>
            <w:tcW w:w="720" w:type="dxa"/>
            <w:noWrap/>
            <w:hideMark/>
          </w:tcPr>
          <w:p w14:paraId="0CFEF3D9" w14:textId="77777777" w:rsidR="001450D2" w:rsidRPr="00577C30" w:rsidRDefault="001450D2" w:rsidP="00577C30">
            <w:pPr>
              <w:jc w:val="both"/>
              <w:rPr>
                <w:rFonts w:eastAsia="Calibri"/>
              </w:rPr>
            </w:pPr>
            <w:r w:rsidRPr="00577C30">
              <w:rPr>
                <w:rFonts w:eastAsia="Calibri"/>
              </w:rPr>
              <w:t>3</w:t>
            </w:r>
          </w:p>
        </w:tc>
        <w:tc>
          <w:tcPr>
            <w:tcW w:w="3888" w:type="dxa"/>
          </w:tcPr>
          <w:p w14:paraId="731CF88B" w14:textId="77777777" w:rsidR="001450D2" w:rsidRPr="00577C30" w:rsidRDefault="001450D2" w:rsidP="00577C30">
            <w:pPr>
              <w:jc w:val="both"/>
              <w:rPr>
                <w:rFonts w:eastAsia="Calibri"/>
              </w:rPr>
            </w:pPr>
          </w:p>
        </w:tc>
      </w:tr>
      <w:tr w:rsidR="001450D2" w:rsidRPr="00577C30" w14:paraId="4450F00F" w14:textId="3977DA44" w:rsidTr="00AF4E74">
        <w:trPr>
          <w:trHeight w:val="20"/>
          <w:jc w:val="center"/>
        </w:trPr>
        <w:tc>
          <w:tcPr>
            <w:tcW w:w="4968" w:type="dxa"/>
            <w:noWrap/>
            <w:hideMark/>
          </w:tcPr>
          <w:p w14:paraId="6CD11B34" w14:textId="1549842A" w:rsidR="001450D2" w:rsidRPr="00577C30" w:rsidRDefault="001450D2" w:rsidP="00577C30">
            <w:pPr>
              <w:jc w:val="both"/>
              <w:rPr>
                <w:rFonts w:eastAsia="Calibri"/>
              </w:rPr>
            </w:pPr>
            <w:r w:rsidRPr="00577C30">
              <w:rPr>
                <w:rFonts w:eastAsia="Calibri"/>
              </w:rPr>
              <w:t xml:space="preserve">Any </w:t>
            </w:r>
            <w:r w:rsidRPr="00577C30">
              <w:rPr>
                <w:rFonts w:eastAsia="Calibri"/>
                <w:i/>
                <w:iCs/>
              </w:rPr>
              <w:t>Pillar: Humanities: Texts and Contexts</w:t>
            </w:r>
            <w:r w:rsidRPr="00577C30">
              <w:rPr>
                <w:rFonts w:eastAsia="Calibri"/>
              </w:rPr>
              <w:t xml:space="preserve"> course</w:t>
            </w:r>
          </w:p>
        </w:tc>
        <w:tc>
          <w:tcPr>
            <w:tcW w:w="720" w:type="dxa"/>
            <w:noWrap/>
            <w:hideMark/>
          </w:tcPr>
          <w:p w14:paraId="7B5699A3" w14:textId="77777777" w:rsidR="001450D2" w:rsidRPr="00577C30" w:rsidRDefault="001450D2" w:rsidP="00577C30">
            <w:pPr>
              <w:jc w:val="both"/>
              <w:rPr>
                <w:rFonts w:eastAsia="Calibri"/>
              </w:rPr>
            </w:pPr>
            <w:r w:rsidRPr="00577C30">
              <w:rPr>
                <w:rFonts w:eastAsia="Calibri"/>
              </w:rPr>
              <w:t>3</w:t>
            </w:r>
          </w:p>
        </w:tc>
        <w:tc>
          <w:tcPr>
            <w:tcW w:w="3888" w:type="dxa"/>
          </w:tcPr>
          <w:p w14:paraId="45FD4097" w14:textId="77777777" w:rsidR="001450D2" w:rsidRPr="00577C30" w:rsidRDefault="001450D2" w:rsidP="00577C30">
            <w:pPr>
              <w:jc w:val="both"/>
              <w:rPr>
                <w:rFonts w:eastAsia="Calibri"/>
              </w:rPr>
            </w:pPr>
          </w:p>
        </w:tc>
      </w:tr>
      <w:tr w:rsidR="001450D2" w:rsidRPr="00577C30" w14:paraId="380097CC" w14:textId="1FA3AB30" w:rsidTr="00AF4E74">
        <w:trPr>
          <w:trHeight w:val="20"/>
          <w:jc w:val="center"/>
        </w:trPr>
        <w:tc>
          <w:tcPr>
            <w:tcW w:w="4968" w:type="dxa"/>
            <w:noWrap/>
            <w:hideMark/>
          </w:tcPr>
          <w:p w14:paraId="70165460" w14:textId="3391F192" w:rsidR="001450D2" w:rsidRPr="00577C30" w:rsidRDefault="001450D2" w:rsidP="00577C30">
            <w:pPr>
              <w:jc w:val="both"/>
              <w:rPr>
                <w:rFonts w:eastAsia="Calibri"/>
              </w:rPr>
            </w:pPr>
            <w:r w:rsidRPr="00577C30">
              <w:rPr>
                <w:rFonts w:eastAsia="Calibri"/>
              </w:rPr>
              <w:t xml:space="preserve">Any </w:t>
            </w:r>
            <w:r w:rsidRPr="00577C30">
              <w:rPr>
                <w:rFonts w:eastAsia="Calibri"/>
                <w:i/>
                <w:iCs/>
              </w:rPr>
              <w:t>Pillar: Humanities: Arts</w:t>
            </w:r>
            <w:r w:rsidRPr="00577C30">
              <w:rPr>
                <w:rFonts w:eastAsia="Calibri"/>
              </w:rPr>
              <w:t xml:space="preserve"> course</w:t>
            </w:r>
          </w:p>
        </w:tc>
        <w:tc>
          <w:tcPr>
            <w:tcW w:w="720" w:type="dxa"/>
            <w:noWrap/>
            <w:hideMark/>
          </w:tcPr>
          <w:p w14:paraId="2C5AF1F2" w14:textId="77777777" w:rsidR="001450D2" w:rsidRPr="00577C30" w:rsidRDefault="001450D2" w:rsidP="00577C30">
            <w:pPr>
              <w:jc w:val="both"/>
              <w:rPr>
                <w:rFonts w:eastAsia="Calibri"/>
              </w:rPr>
            </w:pPr>
            <w:r w:rsidRPr="00577C30">
              <w:rPr>
                <w:rFonts w:eastAsia="Calibri"/>
              </w:rPr>
              <w:t>3</w:t>
            </w:r>
          </w:p>
        </w:tc>
        <w:tc>
          <w:tcPr>
            <w:tcW w:w="3888" w:type="dxa"/>
          </w:tcPr>
          <w:p w14:paraId="64EB0B1B" w14:textId="77777777" w:rsidR="001450D2" w:rsidRPr="00577C30" w:rsidRDefault="001450D2" w:rsidP="00577C30">
            <w:pPr>
              <w:jc w:val="both"/>
              <w:rPr>
                <w:rFonts w:eastAsia="Calibri"/>
              </w:rPr>
            </w:pPr>
          </w:p>
        </w:tc>
      </w:tr>
      <w:tr w:rsidR="001450D2" w:rsidRPr="00577C30" w14:paraId="613E84FB" w14:textId="2815ED44" w:rsidTr="00AF4E74">
        <w:trPr>
          <w:trHeight w:val="20"/>
          <w:jc w:val="center"/>
        </w:trPr>
        <w:tc>
          <w:tcPr>
            <w:tcW w:w="4968" w:type="dxa"/>
            <w:noWrap/>
            <w:hideMark/>
          </w:tcPr>
          <w:p w14:paraId="09CC4082" w14:textId="1EB1C630" w:rsidR="001450D2" w:rsidRPr="00577C30" w:rsidRDefault="001450D2" w:rsidP="00577C30">
            <w:pPr>
              <w:jc w:val="both"/>
              <w:rPr>
                <w:rFonts w:eastAsia="Calibri"/>
              </w:rPr>
            </w:pPr>
            <w:r w:rsidRPr="00577C30">
              <w:rPr>
                <w:rFonts w:eastAsia="Calibri"/>
              </w:rPr>
              <w:t xml:space="preserve">Any </w:t>
            </w:r>
            <w:r w:rsidRPr="00577C30">
              <w:rPr>
                <w:rFonts w:eastAsia="Calibri"/>
                <w:i/>
                <w:iCs/>
              </w:rPr>
              <w:t>Arch: Constructed World</w:t>
            </w:r>
            <w:r w:rsidRPr="00577C30">
              <w:rPr>
                <w:rFonts w:eastAsia="Calibri"/>
              </w:rPr>
              <w:t xml:space="preserve"> course</w:t>
            </w:r>
          </w:p>
        </w:tc>
        <w:tc>
          <w:tcPr>
            <w:tcW w:w="720" w:type="dxa"/>
            <w:noWrap/>
            <w:hideMark/>
          </w:tcPr>
          <w:p w14:paraId="7A3F1611" w14:textId="77777777" w:rsidR="001450D2" w:rsidRPr="00577C30" w:rsidRDefault="001450D2" w:rsidP="00577C30">
            <w:pPr>
              <w:jc w:val="both"/>
              <w:rPr>
                <w:rFonts w:eastAsia="Calibri"/>
              </w:rPr>
            </w:pPr>
            <w:r w:rsidRPr="00577C30">
              <w:rPr>
                <w:rFonts w:eastAsia="Calibri"/>
              </w:rPr>
              <w:t>3</w:t>
            </w:r>
          </w:p>
        </w:tc>
        <w:tc>
          <w:tcPr>
            <w:tcW w:w="3888" w:type="dxa"/>
          </w:tcPr>
          <w:p w14:paraId="6C3C171A" w14:textId="77777777" w:rsidR="001450D2" w:rsidRPr="00577C30" w:rsidRDefault="001450D2" w:rsidP="00577C30">
            <w:pPr>
              <w:jc w:val="both"/>
              <w:rPr>
                <w:rFonts w:eastAsia="Calibri"/>
              </w:rPr>
            </w:pPr>
          </w:p>
        </w:tc>
      </w:tr>
      <w:tr w:rsidR="001450D2" w:rsidRPr="00577C30" w14:paraId="68C00C99" w14:textId="584F32A3" w:rsidTr="00AF4E74">
        <w:trPr>
          <w:trHeight w:val="20"/>
          <w:jc w:val="center"/>
        </w:trPr>
        <w:tc>
          <w:tcPr>
            <w:tcW w:w="4968" w:type="dxa"/>
            <w:noWrap/>
            <w:hideMark/>
          </w:tcPr>
          <w:p w14:paraId="3680864C" w14:textId="6C8D537A" w:rsidR="001450D2" w:rsidRPr="00577C30" w:rsidRDefault="001450D2" w:rsidP="00577C30">
            <w:pPr>
              <w:jc w:val="both"/>
              <w:rPr>
                <w:rFonts w:eastAsia="Calibri"/>
              </w:rPr>
            </w:pPr>
            <w:r w:rsidRPr="00577C30">
              <w:rPr>
                <w:rFonts w:eastAsia="Calibri"/>
              </w:rPr>
              <w:t xml:space="preserve">Any </w:t>
            </w:r>
            <w:r w:rsidRPr="00577C30">
              <w:rPr>
                <w:rFonts w:eastAsia="Calibri"/>
                <w:i/>
                <w:iCs/>
              </w:rPr>
              <w:t>Arch: Natural World</w:t>
            </w:r>
            <w:r w:rsidRPr="00577C30">
              <w:rPr>
                <w:rFonts w:eastAsia="Calibri"/>
              </w:rPr>
              <w:t xml:space="preserve"> course</w:t>
            </w:r>
          </w:p>
        </w:tc>
        <w:tc>
          <w:tcPr>
            <w:tcW w:w="720" w:type="dxa"/>
            <w:noWrap/>
            <w:hideMark/>
          </w:tcPr>
          <w:p w14:paraId="334492CA" w14:textId="77777777" w:rsidR="001450D2" w:rsidRPr="00577C30" w:rsidRDefault="001450D2" w:rsidP="00577C30">
            <w:pPr>
              <w:jc w:val="both"/>
              <w:rPr>
                <w:rFonts w:eastAsia="Calibri"/>
              </w:rPr>
            </w:pPr>
            <w:r w:rsidRPr="00577C30">
              <w:rPr>
                <w:rFonts w:eastAsia="Calibri"/>
              </w:rPr>
              <w:t>3</w:t>
            </w:r>
          </w:p>
        </w:tc>
        <w:tc>
          <w:tcPr>
            <w:tcW w:w="3888" w:type="dxa"/>
          </w:tcPr>
          <w:p w14:paraId="71566A28" w14:textId="77777777" w:rsidR="001450D2" w:rsidRPr="00577C30" w:rsidRDefault="001450D2" w:rsidP="00577C30">
            <w:pPr>
              <w:jc w:val="both"/>
              <w:rPr>
                <w:rFonts w:eastAsia="Calibri"/>
              </w:rPr>
            </w:pPr>
          </w:p>
        </w:tc>
      </w:tr>
      <w:tr w:rsidR="001450D2" w:rsidRPr="00577C30" w14:paraId="2D6A8647" w14:textId="1B3383A9" w:rsidTr="00AF4E74">
        <w:trPr>
          <w:trHeight w:val="20"/>
          <w:jc w:val="center"/>
        </w:trPr>
        <w:tc>
          <w:tcPr>
            <w:tcW w:w="4968" w:type="dxa"/>
            <w:noWrap/>
            <w:hideMark/>
          </w:tcPr>
          <w:p w14:paraId="2AB032C8" w14:textId="4C0BE521" w:rsidR="001450D2" w:rsidRPr="00577C30" w:rsidRDefault="001450D2" w:rsidP="00577C30">
            <w:pPr>
              <w:jc w:val="both"/>
              <w:rPr>
                <w:rFonts w:eastAsia="Calibri"/>
              </w:rPr>
            </w:pPr>
            <w:r w:rsidRPr="00577C30">
              <w:rPr>
                <w:rFonts w:eastAsia="Calibri"/>
              </w:rPr>
              <w:t xml:space="preserve">Any </w:t>
            </w:r>
            <w:r w:rsidRPr="00577C30">
              <w:rPr>
                <w:rFonts w:eastAsia="Calibri"/>
                <w:i/>
                <w:iCs/>
              </w:rPr>
              <w:t>Arch: Connected World</w:t>
            </w:r>
            <w:r w:rsidRPr="00577C30">
              <w:rPr>
                <w:rFonts w:eastAsia="Calibri"/>
              </w:rPr>
              <w:t xml:space="preserve"> course</w:t>
            </w:r>
          </w:p>
        </w:tc>
        <w:tc>
          <w:tcPr>
            <w:tcW w:w="720" w:type="dxa"/>
            <w:noWrap/>
            <w:hideMark/>
          </w:tcPr>
          <w:p w14:paraId="3C3DE442" w14:textId="77777777" w:rsidR="001450D2" w:rsidRPr="00577C30" w:rsidRDefault="001450D2" w:rsidP="00577C30">
            <w:pPr>
              <w:jc w:val="both"/>
              <w:rPr>
                <w:rFonts w:eastAsia="Calibri"/>
              </w:rPr>
            </w:pPr>
            <w:r w:rsidRPr="00577C30">
              <w:rPr>
                <w:rFonts w:eastAsia="Calibri"/>
              </w:rPr>
              <w:t>3</w:t>
            </w:r>
          </w:p>
        </w:tc>
        <w:tc>
          <w:tcPr>
            <w:tcW w:w="3888" w:type="dxa"/>
          </w:tcPr>
          <w:p w14:paraId="224E9914" w14:textId="77777777" w:rsidR="001450D2" w:rsidRPr="00577C30" w:rsidRDefault="001450D2" w:rsidP="00577C30">
            <w:pPr>
              <w:jc w:val="both"/>
              <w:rPr>
                <w:rFonts w:eastAsia="Calibri"/>
              </w:rPr>
            </w:pPr>
          </w:p>
        </w:tc>
      </w:tr>
      <w:tr w:rsidR="001450D2" w:rsidRPr="00577C30" w14:paraId="52DEE280" w14:textId="3C534DF6" w:rsidTr="00AF4E74">
        <w:trPr>
          <w:trHeight w:val="20"/>
          <w:jc w:val="center"/>
        </w:trPr>
        <w:tc>
          <w:tcPr>
            <w:tcW w:w="4968" w:type="dxa"/>
            <w:noWrap/>
            <w:hideMark/>
          </w:tcPr>
          <w:p w14:paraId="6AAE2483" w14:textId="72BEAEED" w:rsidR="001450D2" w:rsidRPr="00577C30" w:rsidRDefault="001450D2" w:rsidP="00577C30">
            <w:pPr>
              <w:jc w:val="both"/>
              <w:rPr>
                <w:rFonts w:eastAsia="Calibri"/>
              </w:rPr>
            </w:pPr>
            <w:r w:rsidRPr="00577C30">
              <w:rPr>
                <w:rFonts w:eastAsia="Calibri"/>
              </w:rPr>
              <w:t xml:space="preserve">Any </w:t>
            </w:r>
            <w:r w:rsidRPr="00577C30">
              <w:rPr>
                <w:rFonts w:eastAsia="Calibri"/>
                <w:i/>
                <w:iCs/>
              </w:rPr>
              <w:t>Bridge: Speaking &amp; Listening</w:t>
            </w:r>
            <w:r w:rsidRPr="00577C30">
              <w:rPr>
                <w:rFonts w:eastAsia="Calibri"/>
              </w:rPr>
              <w:t xml:space="preserve"> course</w:t>
            </w:r>
          </w:p>
        </w:tc>
        <w:tc>
          <w:tcPr>
            <w:tcW w:w="720" w:type="dxa"/>
            <w:noWrap/>
            <w:hideMark/>
          </w:tcPr>
          <w:p w14:paraId="7A881D74" w14:textId="77777777" w:rsidR="001450D2" w:rsidRPr="00577C30" w:rsidRDefault="001450D2" w:rsidP="00577C30">
            <w:pPr>
              <w:jc w:val="both"/>
              <w:rPr>
                <w:rFonts w:eastAsia="Calibri"/>
              </w:rPr>
            </w:pPr>
            <w:r w:rsidRPr="00577C30">
              <w:rPr>
                <w:rFonts w:eastAsia="Calibri"/>
              </w:rPr>
              <w:t>1</w:t>
            </w:r>
          </w:p>
        </w:tc>
        <w:tc>
          <w:tcPr>
            <w:tcW w:w="3888" w:type="dxa"/>
          </w:tcPr>
          <w:p w14:paraId="62E2AAF6" w14:textId="77777777" w:rsidR="001450D2" w:rsidRPr="00577C30" w:rsidRDefault="001450D2" w:rsidP="00577C30">
            <w:pPr>
              <w:jc w:val="both"/>
              <w:rPr>
                <w:rFonts w:eastAsia="Calibri"/>
              </w:rPr>
            </w:pPr>
          </w:p>
        </w:tc>
      </w:tr>
      <w:tr w:rsidR="001450D2" w:rsidRPr="00577C30" w14:paraId="33459EEB" w14:textId="2CC57BFB" w:rsidTr="00AF4E74">
        <w:trPr>
          <w:trHeight w:val="20"/>
          <w:jc w:val="center"/>
        </w:trPr>
        <w:tc>
          <w:tcPr>
            <w:tcW w:w="4968" w:type="dxa"/>
            <w:shd w:val="clear" w:color="auto" w:fill="E7E6E6"/>
            <w:noWrap/>
            <w:hideMark/>
          </w:tcPr>
          <w:p w14:paraId="3FE155C1" w14:textId="736937D7" w:rsidR="001450D2" w:rsidRPr="00577C30" w:rsidRDefault="001450D2" w:rsidP="00577C30">
            <w:pPr>
              <w:jc w:val="both"/>
              <w:rPr>
                <w:rFonts w:eastAsia="Calibri"/>
                <w:b/>
                <w:bCs/>
              </w:rPr>
            </w:pPr>
            <w:r w:rsidRPr="00577C30">
              <w:rPr>
                <w:rFonts w:eastAsia="Calibri"/>
                <w:b/>
                <w:bCs/>
              </w:rPr>
              <w:t>Pre-Major Requirements</w:t>
            </w:r>
          </w:p>
        </w:tc>
        <w:tc>
          <w:tcPr>
            <w:tcW w:w="720" w:type="dxa"/>
            <w:shd w:val="clear" w:color="auto" w:fill="E7E6E6"/>
            <w:noWrap/>
            <w:hideMark/>
          </w:tcPr>
          <w:p w14:paraId="1A00FF0F" w14:textId="77777777" w:rsidR="001450D2" w:rsidRPr="00577C30" w:rsidRDefault="001450D2" w:rsidP="00577C30">
            <w:pPr>
              <w:jc w:val="both"/>
              <w:rPr>
                <w:rFonts w:eastAsia="Calibri"/>
                <w:b/>
                <w:bCs/>
              </w:rPr>
            </w:pPr>
          </w:p>
        </w:tc>
        <w:tc>
          <w:tcPr>
            <w:tcW w:w="3888" w:type="dxa"/>
            <w:shd w:val="clear" w:color="auto" w:fill="E7E6E6"/>
          </w:tcPr>
          <w:p w14:paraId="2F321324" w14:textId="77777777" w:rsidR="001450D2" w:rsidRPr="00577C30" w:rsidRDefault="001450D2" w:rsidP="00577C30">
            <w:pPr>
              <w:jc w:val="both"/>
              <w:rPr>
                <w:rFonts w:eastAsia="Calibri"/>
                <w:b/>
                <w:bCs/>
              </w:rPr>
            </w:pPr>
          </w:p>
        </w:tc>
      </w:tr>
      <w:tr w:rsidR="001450D2" w:rsidRPr="00577C30" w14:paraId="02FB0478" w14:textId="2F152671" w:rsidTr="00AF4E74">
        <w:trPr>
          <w:trHeight w:val="20"/>
          <w:jc w:val="center"/>
        </w:trPr>
        <w:tc>
          <w:tcPr>
            <w:tcW w:w="4968" w:type="dxa"/>
            <w:noWrap/>
            <w:hideMark/>
          </w:tcPr>
          <w:p w14:paraId="10EE6741" w14:textId="77777777" w:rsidR="001450D2" w:rsidRPr="00577C30" w:rsidRDefault="001450D2" w:rsidP="00577C30">
            <w:pPr>
              <w:jc w:val="both"/>
              <w:rPr>
                <w:rFonts w:eastAsia="Calibri"/>
              </w:rPr>
            </w:pPr>
            <w:r w:rsidRPr="00577C30">
              <w:rPr>
                <w:rFonts w:eastAsia="Calibri"/>
              </w:rPr>
              <w:t>MATH 1060 or 1200 or 1500 or 1350*</w:t>
            </w:r>
          </w:p>
        </w:tc>
        <w:tc>
          <w:tcPr>
            <w:tcW w:w="720" w:type="dxa"/>
            <w:noWrap/>
            <w:hideMark/>
          </w:tcPr>
          <w:p w14:paraId="6DC6E98F" w14:textId="77777777" w:rsidR="001450D2" w:rsidRPr="00577C30" w:rsidRDefault="001450D2" w:rsidP="00577C30">
            <w:pPr>
              <w:jc w:val="both"/>
              <w:rPr>
                <w:rFonts w:eastAsia="Calibri"/>
              </w:rPr>
            </w:pPr>
            <w:r w:rsidRPr="00577C30">
              <w:rPr>
                <w:rFonts w:eastAsia="Calibri"/>
              </w:rPr>
              <w:t>3</w:t>
            </w:r>
          </w:p>
        </w:tc>
        <w:tc>
          <w:tcPr>
            <w:tcW w:w="3888" w:type="dxa"/>
          </w:tcPr>
          <w:p w14:paraId="59709923" w14:textId="4BDDF6BC" w:rsidR="001450D2" w:rsidRPr="00577C30" w:rsidRDefault="001450D2" w:rsidP="00577C30">
            <w:pPr>
              <w:jc w:val="both"/>
              <w:rPr>
                <w:rFonts w:eastAsia="Calibri"/>
              </w:rPr>
            </w:pPr>
            <w:r w:rsidRPr="00577C30">
              <w:rPr>
                <w:rFonts w:eastAsia="Calibri"/>
                <w:i/>
                <w:iCs/>
              </w:rPr>
              <w:t>Foundations: Quantitative Reasoning</w:t>
            </w:r>
          </w:p>
        </w:tc>
      </w:tr>
      <w:tr w:rsidR="001450D2" w:rsidRPr="00577C30" w14:paraId="28006696" w14:textId="4FAFB69F" w:rsidTr="00AF4E74">
        <w:trPr>
          <w:trHeight w:val="20"/>
          <w:jc w:val="center"/>
        </w:trPr>
        <w:tc>
          <w:tcPr>
            <w:tcW w:w="4968" w:type="dxa"/>
            <w:noWrap/>
            <w:hideMark/>
          </w:tcPr>
          <w:p w14:paraId="72E72A43" w14:textId="77777777" w:rsidR="001450D2" w:rsidRPr="00577C30" w:rsidRDefault="001450D2" w:rsidP="00577C30">
            <w:pPr>
              <w:jc w:val="both"/>
              <w:rPr>
                <w:rFonts w:eastAsia="Calibri"/>
              </w:rPr>
            </w:pPr>
            <w:r w:rsidRPr="00577C30">
              <w:rPr>
                <w:rFonts w:eastAsia="Calibri"/>
              </w:rPr>
              <w:t>ACCT 1010 (or ATCH 1030)</w:t>
            </w:r>
          </w:p>
        </w:tc>
        <w:tc>
          <w:tcPr>
            <w:tcW w:w="720" w:type="dxa"/>
            <w:noWrap/>
            <w:hideMark/>
          </w:tcPr>
          <w:p w14:paraId="11092C97" w14:textId="77777777" w:rsidR="001450D2" w:rsidRPr="00577C30" w:rsidRDefault="001450D2" w:rsidP="00577C30">
            <w:pPr>
              <w:jc w:val="both"/>
              <w:rPr>
                <w:rFonts w:eastAsia="Calibri"/>
              </w:rPr>
            </w:pPr>
            <w:r w:rsidRPr="00577C30">
              <w:rPr>
                <w:rFonts w:eastAsia="Calibri"/>
              </w:rPr>
              <w:t>3</w:t>
            </w:r>
          </w:p>
        </w:tc>
        <w:tc>
          <w:tcPr>
            <w:tcW w:w="3888" w:type="dxa"/>
          </w:tcPr>
          <w:p w14:paraId="22FDC29D" w14:textId="77777777" w:rsidR="001450D2" w:rsidRPr="00577C30" w:rsidRDefault="001450D2" w:rsidP="00577C30">
            <w:pPr>
              <w:jc w:val="both"/>
              <w:rPr>
                <w:rFonts w:eastAsia="Calibri"/>
              </w:rPr>
            </w:pPr>
          </w:p>
        </w:tc>
      </w:tr>
      <w:tr w:rsidR="001450D2" w:rsidRPr="00577C30" w14:paraId="46A1F3AF" w14:textId="7C1FB422" w:rsidTr="00AF4E74">
        <w:trPr>
          <w:trHeight w:val="20"/>
          <w:jc w:val="center"/>
        </w:trPr>
        <w:tc>
          <w:tcPr>
            <w:tcW w:w="4968" w:type="dxa"/>
            <w:noWrap/>
            <w:hideMark/>
          </w:tcPr>
          <w:p w14:paraId="326C5824" w14:textId="77777777" w:rsidR="001450D2" w:rsidRPr="00577C30" w:rsidRDefault="001450D2" w:rsidP="00577C30">
            <w:pPr>
              <w:jc w:val="both"/>
              <w:rPr>
                <w:rFonts w:eastAsia="Calibri"/>
              </w:rPr>
            </w:pPr>
            <w:r w:rsidRPr="00577C30">
              <w:rPr>
                <w:rFonts w:eastAsia="Calibri"/>
              </w:rPr>
              <w:t>ACCT 1020 (or ATCH 1040)</w:t>
            </w:r>
          </w:p>
        </w:tc>
        <w:tc>
          <w:tcPr>
            <w:tcW w:w="720" w:type="dxa"/>
            <w:noWrap/>
            <w:hideMark/>
          </w:tcPr>
          <w:p w14:paraId="6289417B" w14:textId="77777777" w:rsidR="001450D2" w:rsidRPr="00577C30" w:rsidRDefault="001450D2" w:rsidP="00577C30">
            <w:pPr>
              <w:jc w:val="both"/>
              <w:rPr>
                <w:rFonts w:eastAsia="Calibri"/>
              </w:rPr>
            </w:pPr>
            <w:r w:rsidRPr="00577C30">
              <w:rPr>
                <w:rFonts w:eastAsia="Calibri"/>
              </w:rPr>
              <w:t>3</w:t>
            </w:r>
          </w:p>
        </w:tc>
        <w:tc>
          <w:tcPr>
            <w:tcW w:w="3888" w:type="dxa"/>
          </w:tcPr>
          <w:p w14:paraId="674E77E8" w14:textId="77777777" w:rsidR="001450D2" w:rsidRPr="00577C30" w:rsidRDefault="001450D2" w:rsidP="00577C30">
            <w:pPr>
              <w:jc w:val="both"/>
              <w:rPr>
                <w:rFonts w:eastAsia="Calibri"/>
              </w:rPr>
            </w:pPr>
          </w:p>
        </w:tc>
      </w:tr>
      <w:tr w:rsidR="001450D2" w:rsidRPr="00577C30" w14:paraId="4EF48ADC" w14:textId="485AED5A" w:rsidTr="00AF4E74">
        <w:trPr>
          <w:trHeight w:val="20"/>
          <w:jc w:val="center"/>
        </w:trPr>
        <w:tc>
          <w:tcPr>
            <w:tcW w:w="4968" w:type="dxa"/>
            <w:noWrap/>
            <w:hideMark/>
          </w:tcPr>
          <w:p w14:paraId="4E0E6A5F" w14:textId="77777777" w:rsidR="001450D2" w:rsidRPr="00577C30" w:rsidRDefault="001450D2" w:rsidP="00577C30">
            <w:pPr>
              <w:jc w:val="both"/>
              <w:rPr>
                <w:rFonts w:eastAsia="Calibri"/>
              </w:rPr>
            </w:pPr>
            <w:r w:rsidRPr="00577C30">
              <w:rPr>
                <w:rFonts w:eastAsia="Calibri"/>
              </w:rPr>
              <w:t>ECON 1030 (or ECON 1000)</w:t>
            </w:r>
          </w:p>
        </w:tc>
        <w:tc>
          <w:tcPr>
            <w:tcW w:w="720" w:type="dxa"/>
            <w:noWrap/>
            <w:hideMark/>
          </w:tcPr>
          <w:p w14:paraId="7F85E6CF" w14:textId="77777777" w:rsidR="001450D2" w:rsidRPr="00577C30" w:rsidRDefault="001450D2" w:rsidP="00577C30">
            <w:pPr>
              <w:jc w:val="both"/>
              <w:rPr>
                <w:rFonts w:eastAsia="Calibri"/>
              </w:rPr>
            </w:pPr>
            <w:r w:rsidRPr="00577C30">
              <w:rPr>
                <w:rFonts w:eastAsia="Calibri"/>
              </w:rPr>
              <w:t>3</w:t>
            </w:r>
          </w:p>
        </w:tc>
        <w:tc>
          <w:tcPr>
            <w:tcW w:w="3888" w:type="dxa"/>
          </w:tcPr>
          <w:p w14:paraId="63506904" w14:textId="77777777" w:rsidR="001450D2" w:rsidRPr="00577C30" w:rsidRDefault="001450D2" w:rsidP="00577C30">
            <w:pPr>
              <w:jc w:val="both"/>
              <w:rPr>
                <w:rFonts w:eastAsia="Calibri"/>
              </w:rPr>
            </w:pPr>
          </w:p>
        </w:tc>
      </w:tr>
      <w:tr w:rsidR="001450D2" w:rsidRPr="00577C30" w14:paraId="555B7EED" w14:textId="1ED997B2" w:rsidTr="00AF4E74">
        <w:trPr>
          <w:trHeight w:val="20"/>
          <w:jc w:val="center"/>
        </w:trPr>
        <w:tc>
          <w:tcPr>
            <w:tcW w:w="4968" w:type="dxa"/>
            <w:noWrap/>
            <w:hideMark/>
          </w:tcPr>
          <w:p w14:paraId="167FF6E9" w14:textId="77777777" w:rsidR="001450D2" w:rsidRPr="00577C30" w:rsidRDefault="001450D2" w:rsidP="00577C30">
            <w:pPr>
              <w:jc w:val="both"/>
              <w:rPr>
                <w:rFonts w:eastAsia="Calibri"/>
              </w:rPr>
            </w:pPr>
            <w:r w:rsidRPr="00577C30">
              <w:rPr>
                <w:rFonts w:eastAsia="Calibri"/>
              </w:rPr>
              <w:t>BA 1500</w:t>
            </w:r>
          </w:p>
        </w:tc>
        <w:tc>
          <w:tcPr>
            <w:tcW w:w="720" w:type="dxa"/>
            <w:noWrap/>
            <w:hideMark/>
          </w:tcPr>
          <w:p w14:paraId="3C4C4763" w14:textId="77777777" w:rsidR="001450D2" w:rsidRPr="00577C30" w:rsidRDefault="001450D2" w:rsidP="00577C30">
            <w:pPr>
              <w:jc w:val="both"/>
              <w:rPr>
                <w:rFonts w:eastAsia="Calibri"/>
              </w:rPr>
            </w:pPr>
            <w:r w:rsidRPr="00577C30">
              <w:rPr>
                <w:rFonts w:eastAsia="Calibri"/>
              </w:rPr>
              <w:t>3</w:t>
            </w:r>
          </w:p>
        </w:tc>
        <w:tc>
          <w:tcPr>
            <w:tcW w:w="3888" w:type="dxa"/>
          </w:tcPr>
          <w:p w14:paraId="1C9D47F4" w14:textId="24977D07" w:rsidR="001450D2" w:rsidRPr="00577C30" w:rsidRDefault="00AF4E74" w:rsidP="00577C30">
            <w:pPr>
              <w:jc w:val="both"/>
              <w:rPr>
                <w:rFonts w:eastAsia="Calibri"/>
              </w:rPr>
            </w:pPr>
            <w:r w:rsidRPr="00577C30">
              <w:rPr>
                <w:rFonts w:eastAsia="Calibri"/>
                <w:i/>
                <w:iCs/>
              </w:rPr>
              <w:t>Foundations: Advanced Writing</w:t>
            </w:r>
          </w:p>
        </w:tc>
      </w:tr>
      <w:tr w:rsidR="001450D2" w:rsidRPr="00577C30" w14:paraId="1BBAB82D" w14:textId="58DE2FA2" w:rsidTr="00AF4E74">
        <w:trPr>
          <w:trHeight w:val="20"/>
          <w:jc w:val="center"/>
        </w:trPr>
        <w:tc>
          <w:tcPr>
            <w:tcW w:w="4968" w:type="dxa"/>
            <w:noWrap/>
            <w:hideMark/>
          </w:tcPr>
          <w:p w14:paraId="32211B65" w14:textId="77777777" w:rsidR="001450D2" w:rsidRPr="00577C30" w:rsidRDefault="001450D2" w:rsidP="00577C30">
            <w:pPr>
              <w:jc w:val="both"/>
              <w:rPr>
                <w:rFonts w:eastAsia="Calibri"/>
              </w:rPr>
            </w:pPr>
            <w:r w:rsidRPr="00577C30">
              <w:rPr>
                <w:rFonts w:eastAsia="Calibri"/>
              </w:rPr>
              <w:t>QBA 1721 (or QBA 2720)</w:t>
            </w:r>
          </w:p>
        </w:tc>
        <w:tc>
          <w:tcPr>
            <w:tcW w:w="720" w:type="dxa"/>
            <w:noWrap/>
            <w:hideMark/>
          </w:tcPr>
          <w:p w14:paraId="0E16CCC7" w14:textId="77777777" w:rsidR="001450D2" w:rsidRPr="00577C30" w:rsidRDefault="001450D2" w:rsidP="00577C30">
            <w:pPr>
              <w:jc w:val="both"/>
              <w:rPr>
                <w:rFonts w:eastAsia="Calibri"/>
              </w:rPr>
            </w:pPr>
            <w:r w:rsidRPr="00577C30">
              <w:rPr>
                <w:rFonts w:eastAsia="Calibri"/>
              </w:rPr>
              <w:t>3</w:t>
            </w:r>
          </w:p>
        </w:tc>
        <w:tc>
          <w:tcPr>
            <w:tcW w:w="3888" w:type="dxa"/>
          </w:tcPr>
          <w:p w14:paraId="5ED64B71" w14:textId="77777777" w:rsidR="001450D2" w:rsidRPr="00577C30" w:rsidRDefault="001450D2" w:rsidP="00577C30">
            <w:pPr>
              <w:jc w:val="both"/>
              <w:rPr>
                <w:rFonts w:eastAsia="Calibri"/>
              </w:rPr>
            </w:pPr>
          </w:p>
        </w:tc>
      </w:tr>
      <w:tr w:rsidR="001450D2" w:rsidRPr="00577C30" w14:paraId="2BC42EDC" w14:textId="5E1915FA" w:rsidTr="00AF4E74">
        <w:trPr>
          <w:trHeight w:val="20"/>
          <w:jc w:val="center"/>
        </w:trPr>
        <w:tc>
          <w:tcPr>
            <w:tcW w:w="4968" w:type="dxa"/>
            <w:noWrap/>
            <w:hideMark/>
          </w:tcPr>
          <w:p w14:paraId="65384D91" w14:textId="77777777" w:rsidR="001450D2" w:rsidRPr="00577C30" w:rsidRDefault="001450D2" w:rsidP="00577C30">
            <w:pPr>
              <w:jc w:val="both"/>
              <w:rPr>
                <w:rFonts w:eastAsia="Calibri"/>
              </w:rPr>
            </w:pPr>
            <w:r w:rsidRPr="00577C30">
              <w:rPr>
                <w:rFonts w:eastAsia="Calibri"/>
              </w:rPr>
              <w:t>MGT 2000 (or BMT 1100 or MGT 2100)</w:t>
            </w:r>
          </w:p>
        </w:tc>
        <w:tc>
          <w:tcPr>
            <w:tcW w:w="720" w:type="dxa"/>
            <w:noWrap/>
            <w:hideMark/>
          </w:tcPr>
          <w:p w14:paraId="1AB4F914" w14:textId="77777777" w:rsidR="001450D2" w:rsidRPr="00577C30" w:rsidRDefault="001450D2" w:rsidP="00577C30">
            <w:pPr>
              <w:jc w:val="both"/>
              <w:rPr>
                <w:rFonts w:eastAsia="Calibri"/>
              </w:rPr>
            </w:pPr>
            <w:r w:rsidRPr="00577C30">
              <w:rPr>
                <w:rFonts w:eastAsia="Calibri"/>
              </w:rPr>
              <w:t>3</w:t>
            </w:r>
          </w:p>
        </w:tc>
        <w:tc>
          <w:tcPr>
            <w:tcW w:w="3888" w:type="dxa"/>
          </w:tcPr>
          <w:p w14:paraId="036CEF31" w14:textId="77777777" w:rsidR="001450D2" w:rsidRPr="00577C30" w:rsidRDefault="001450D2" w:rsidP="00577C30">
            <w:pPr>
              <w:jc w:val="both"/>
              <w:rPr>
                <w:rFonts w:eastAsia="Calibri"/>
              </w:rPr>
            </w:pPr>
          </w:p>
        </w:tc>
      </w:tr>
      <w:tr w:rsidR="001450D2" w:rsidRPr="00577C30" w14:paraId="63E61EDE" w14:textId="0520D657" w:rsidTr="00AF4E74">
        <w:trPr>
          <w:trHeight w:val="20"/>
          <w:jc w:val="center"/>
        </w:trPr>
        <w:tc>
          <w:tcPr>
            <w:tcW w:w="4968" w:type="dxa"/>
            <w:noWrap/>
            <w:hideMark/>
          </w:tcPr>
          <w:p w14:paraId="20468969" w14:textId="77777777" w:rsidR="001450D2" w:rsidRPr="00577C30" w:rsidRDefault="001450D2" w:rsidP="00577C30">
            <w:pPr>
              <w:jc w:val="both"/>
              <w:rPr>
                <w:rFonts w:eastAsia="Calibri"/>
              </w:rPr>
            </w:pPr>
            <w:r w:rsidRPr="00577C30">
              <w:rPr>
                <w:rFonts w:eastAsia="Calibri"/>
              </w:rPr>
              <w:t>MKT 2020 (or BMT 1400 or MKT 2400)</w:t>
            </w:r>
          </w:p>
        </w:tc>
        <w:tc>
          <w:tcPr>
            <w:tcW w:w="720" w:type="dxa"/>
            <w:noWrap/>
            <w:hideMark/>
          </w:tcPr>
          <w:p w14:paraId="52FA3593" w14:textId="77777777" w:rsidR="001450D2" w:rsidRPr="00577C30" w:rsidRDefault="001450D2" w:rsidP="00577C30">
            <w:pPr>
              <w:jc w:val="both"/>
              <w:rPr>
                <w:rFonts w:eastAsia="Calibri"/>
              </w:rPr>
            </w:pPr>
            <w:r w:rsidRPr="00577C30">
              <w:rPr>
                <w:rFonts w:eastAsia="Calibri"/>
              </w:rPr>
              <w:t>3</w:t>
            </w:r>
          </w:p>
        </w:tc>
        <w:tc>
          <w:tcPr>
            <w:tcW w:w="3888" w:type="dxa"/>
          </w:tcPr>
          <w:p w14:paraId="57CB692C" w14:textId="77777777" w:rsidR="001450D2" w:rsidRPr="00577C30" w:rsidRDefault="001450D2" w:rsidP="00577C30">
            <w:pPr>
              <w:jc w:val="both"/>
              <w:rPr>
                <w:rFonts w:eastAsia="Calibri"/>
              </w:rPr>
            </w:pPr>
          </w:p>
        </w:tc>
      </w:tr>
      <w:tr w:rsidR="001450D2" w:rsidRPr="00577C30" w14:paraId="537759B6" w14:textId="318EA536" w:rsidTr="00AF4E74">
        <w:trPr>
          <w:trHeight w:val="20"/>
          <w:jc w:val="center"/>
        </w:trPr>
        <w:tc>
          <w:tcPr>
            <w:tcW w:w="4968" w:type="dxa"/>
            <w:noWrap/>
            <w:hideMark/>
          </w:tcPr>
          <w:p w14:paraId="0E3B1C05" w14:textId="77777777" w:rsidR="001450D2" w:rsidRPr="00577C30" w:rsidRDefault="001450D2" w:rsidP="00577C30">
            <w:pPr>
              <w:jc w:val="both"/>
              <w:rPr>
                <w:rFonts w:eastAsia="Calibri"/>
              </w:rPr>
            </w:pPr>
            <w:r w:rsidRPr="00577C30">
              <w:rPr>
                <w:rFonts w:eastAsia="Calibri"/>
              </w:rPr>
              <w:t xml:space="preserve">BMT 2000 </w:t>
            </w:r>
          </w:p>
        </w:tc>
        <w:tc>
          <w:tcPr>
            <w:tcW w:w="720" w:type="dxa"/>
            <w:noWrap/>
            <w:hideMark/>
          </w:tcPr>
          <w:p w14:paraId="211C3DB0" w14:textId="77777777" w:rsidR="001450D2" w:rsidRPr="00577C30" w:rsidRDefault="001450D2" w:rsidP="00577C30">
            <w:pPr>
              <w:jc w:val="both"/>
              <w:rPr>
                <w:rFonts w:eastAsia="Calibri"/>
              </w:rPr>
            </w:pPr>
            <w:r w:rsidRPr="00577C30">
              <w:rPr>
                <w:rFonts w:eastAsia="Calibri"/>
              </w:rPr>
              <w:t>3</w:t>
            </w:r>
          </w:p>
        </w:tc>
        <w:tc>
          <w:tcPr>
            <w:tcW w:w="3888" w:type="dxa"/>
          </w:tcPr>
          <w:p w14:paraId="4864D57E" w14:textId="77777777" w:rsidR="001450D2" w:rsidRPr="00577C30" w:rsidRDefault="001450D2" w:rsidP="00577C30">
            <w:pPr>
              <w:jc w:val="both"/>
              <w:rPr>
                <w:rFonts w:eastAsia="Calibri"/>
              </w:rPr>
            </w:pPr>
          </w:p>
        </w:tc>
      </w:tr>
      <w:tr w:rsidR="001450D2" w:rsidRPr="00577C30" w14:paraId="0FE43898" w14:textId="5F5F2A8C" w:rsidTr="00AF4E74">
        <w:trPr>
          <w:trHeight w:val="20"/>
          <w:jc w:val="center"/>
        </w:trPr>
        <w:tc>
          <w:tcPr>
            <w:tcW w:w="4968" w:type="dxa"/>
            <w:noWrap/>
            <w:hideMark/>
          </w:tcPr>
          <w:p w14:paraId="24B96D9D" w14:textId="77777777" w:rsidR="001450D2" w:rsidRPr="00577C30" w:rsidRDefault="001450D2" w:rsidP="00577C30">
            <w:pPr>
              <w:jc w:val="both"/>
              <w:rPr>
                <w:rFonts w:eastAsia="Calibri"/>
              </w:rPr>
            </w:pPr>
            <w:r w:rsidRPr="00577C30">
              <w:rPr>
                <w:rFonts w:eastAsia="Calibri"/>
              </w:rPr>
              <w:t>BUSL 2000 or 2550</w:t>
            </w:r>
          </w:p>
        </w:tc>
        <w:tc>
          <w:tcPr>
            <w:tcW w:w="720" w:type="dxa"/>
            <w:noWrap/>
            <w:hideMark/>
          </w:tcPr>
          <w:p w14:paraId="6BA0B8F3" w14:textId="77777777" w:rsidR="001450D2" w:rsidRPr="00577C30" w:rsidRDefault="001450D2" w:rsidP="00577C30">
            <w:pPr>
              <w:jc w:val="both"/>
              <w:rPr>
                <w:rFonts w:eastAsia="Calibri"/>
              </w:rPr>
            </w:pPr>
            <w:r w:rsidRPr="00577C30">
              <w:rPr>
                <w:rFonts w:eastAsia="Calibri"/>
              </w:rPr>
              <w:t>3</w:t>
            </w:r>
          </w:p>
        </w:tc>
        <w:tc>
          <w:tcPr>
            <w:tcW w:w="3888" w:type="dxa"/>
          </w:tcPr>
          <w:p w14:paraId="60F02CA7" w14:textId="77777777" w:rsidR="001450D2" w:rsidRPr="00577C30" w:rsidRDefault="001450D2" w:rsidP="00577C30">
            <w:pPr>
              <w:jc w:val="both"/>
              <w:rPr>
                <w:rFonts w:eastAsia="Calibri"/>
              </w:rPr>
            </w:pPr>
          </w:p>
        </w:tc>
      </w:tr>
      <w:tr w:rsidR="001450D2" w:rsidRPr="00577C30" w14:paraId="483D62E8" w14:textId="78EDDCCE" w:rsidTr="00AF4E74">
        <w:trPr>
          <w:trHeight w:val="20"/>
          <w:jc w:val="center"/>
        </w:trPr>
        <w:tc>
          <w:tcPr>
            <w:tcW w:w="4968" w:type="dxa"/>
            <w:shd w:val="clear" w:color="auto" w:fill="E7E6E6"/>
            <w:noWrap/>
            <w:hideMark/>
          </w:tcPr>
          <w:p w14:paraId="51030C77" w14:textId="77777777" w:rsidR="001450D2" w:rsidRPr="00577C30" w:rsidRDefault="001450D2" w:rsidP="00577C30">
            <w:pPr>
              <w:jc w:val="both"/>
              <w:rPr>
                <w:rFonts w:eastAsia="Calibri"/>
                <w:b/>
                <w:bCs/>
              </w:rPr>
            </w:pPr>
            <w:r w:rsidRPr="00577C30">
              <w:rPr>
                <w:rFonts w:eastAsia="Calibri"/>
                <w:b/>
                <w:bCs/>
              </w:rPr>
              <w:t>Major Requirements: Business Core</w:t>
            </w:r>
          </w:p>
        </w:tc>
        <w:tc>
          <w:tcPr>
            <w:tcW w:w="720" w:type="dxa"/>
            <w:shd w:val="clear" w:color="auto" w:fill="E7E6E6"/>
            <w:noWrap/>
            <w:hideMark/>
          </w:tcPr>
          <w:p w14:paraId="52F97D01" w14:textId="77777777" w:rsidR="001450D2" w:rsidRPr="00577C30" w:rsidRDefault="001450D2" w:rsidP="00577C30">
            <w:pPr>
              <w:jc w:val="both"/>
              <w:rPr>
                <w:rFonts w:eastAsia="Calibri"/>
                <w:b/>
                <w:bCs/>
              </w:rPr>
            </w:pPr>
          </w:p>
        </w:tc>
        <w:tc>
          <w:tcPr>
            <w:tcW w:w="3888" w:type="dxa"/>
            <w:shd w:val="clear" w:color="auto" w:fill="E7E6E6"/>
          </w:tcPr>
          <w:p w14:paraId="583CB861" w14:textId="77777777" w:rsidR="001450D2" w:rsidRPr="00577C30" w:rsidRDefault="001450D2" w:rsidP="00577C30">
            <w:pPr>
              <w:jc w:val="both"/>
              <w:rPr>
                <w:rFonts w:eastAsia="Calibri"/>
                <w:b/>
                <w:bCs/>
              </w:rPr>
            </w:pPr>
          </w:p>
        </w:tc>
      </w:tr>
      <w:tr w:rsidR="001450D2" w:rsidRPr="00577C30" w14:paraId="43875307" w14:textId="2C7A50A8" w:rsidTr="00AF4E74">
        <w:trPr>
          <w:trHeight w:val="20"/>
          <w:jc w:val="center"/>
        </w:trPr>
        <w:tc>
          <w:tcPr>
            <w:tcW w:w="4968" w:type="dxa"/>
            <w:noWrap/>
          </w:tcPr>
          <w:p w14:paraId="76084C6C" w14:textId="77777777" w:rsidR="001450D2" w:rsidRPr="00577C30" w:rsidRDefault="001450D2" w:rsidP="00577C30">
            <w:pPr>
              <w:jc w:val="both"/>
              <w:rPr>
                <w:rFonts w:eastAsia="Calibri"/>
              </w:rPr>
            </w:pPr>
            <w:r w:rsidRPr="00577C30">
              <w:rPr>
                <w:rFonts w:eastAsia="Calibri"/>
              </w:rPr>
              <w:t>SAM 3000 Managing Systems and Projects</w:t>
            </w:r>
          </w:p>
        </w:tc>
        <w:tc>
          <w:tcPr>
            <w:tcW w:w="720" w:type="dxa"/>
            <w:noWrap/>
          </w:tcPr>
          <w:p w14:paraId="4A6298A8" w14:textId="77777777" w:rsidR="001450D2" w:rsidRPr="00577C30" w:rsidRDefault="001450D2" w:rsidP="00577C30">
            <w:pPr>
              <w:jc w:val="both"/>
              <w:rPr>
                <w:rFonts w:eastAsia="Calibri"/>
              </w:rPr>
            </w:pPr>
            <w:r w:rsidRPr="00577C30">
              <w:rPr>
                <w:rFonts w:eastAsia="Calibri"/>
              </w:rPr>
              <w:t>3</w:t>
            </w:r>
          </w:p>
        </w:tc>
        <w:tc>
          <w:tcPr>
            <w:tcW w:w="3888" w:type="dxa"/>
          </w:tcPr>
          <w:p w14:paraId="6B751AB0" w14:textId="77777777" w:rsidR="001450D2" w:rsidRPr="00577C30" w:rsidRDefault="001450D2" w:rsidP="00577C30">
            <w:pPr>
              <w:jc w:val="both"/>
              <w:rPr>
                <w:rFonts w:eastAsia="Calibri"/>
              </w:rPr>
            </w:pPr>
          </w:p>
        </w:tc>
      </w:tr>
      <w:tr w:rsidR="001450D2" w:rsidRPr="00577C30" w14:paraId="566CAA04" w14:textId="068DD417" w:rsidTr="00AF4E74">
        <w:trPr>
          <w:trHeight w:val="20"/>
          <w:jc w:val="center"/>
        </w:trPr>
        <w:tc>
          <w:tcPr>
            <w:tcW w:w="4968" w:type="dxa"/>
            <w:noWrap/>
          </w:tcPr>
          <w:p w14:paraId="3988FFE5" w14:textId="77777777" w:rsidR="001450D2" w:rsidRPr="00577C30" w:rsidRDefault="001450D2" w:rsidP="00577C30">
            <w:pPr>
              <w:jc w:val="both"/>
              <w:rPr>
                <w:rFonts w:eastAsia="Calibri"/>
              </w:rPr>
            </w:pPr>
            <w:r w:rsidRPr="00577C30">
              <w:rPr>
                <w:rFonts w:eastAsia="Calibri"/>
              </w:rPr>
              <w:t>SAM 3010 Managing Processes and Supply Chains</w:t>
            </w:r>
          </w:p>
        </w:tc>
        <w:tc>
          <w:tcPr>
            <w:tcW w:w="720" w:type="dxa"/>
            <w:noWrap/>
          </w:tcPr>
          <w:p w14:paraId="0DECF481" w14:textId="77777777" w:rsidR="001450D2" w:rsidRPr="00577C30" w:rsidRDefault="001450D2" w:rsidP="00577C30">
            <w:pPr>
              <w:jc w:val="both"/>
              <w:rPr>
                <w:rFonts w:eastAsia="Calibri"/>
              </w:rPr>
            </w:pPr>
            <w:r w:rsidRPr="00577C30">
              <w:rPr>
                <w:rFonts w:eastAsia="Calibri"/>
              </w:rPr>
              <w:t>3</w:t>
            </w:r>
          </w:p>
        </w:tc>
        <w:tc>
          <w:tcPr>
            <w:tcW w:w="3888" w:type="dxa"/>
          </w:tcPr>
          <w:p w14:paraId="0A0E3D77" w14:textId="77777777" w:rsidR="001450D2" w:rsidRPr="00577C30" w:rsidRDefault="001450D2" w:rsidP="00577C30">
            <w:pPr>
              <w:jc w:val="both"/>
              <w:rPr>
                <w:rFonts w:eastAsia="Calibri"/>
              </w:rPr>
            </w:pPr>
          </w:p>
        </w:tc>
      </w:tr>
      <w:tr w:rsidR="001450D2" w:rsidRPr="00577C30" w14:paraId="7949EE48" w14:textId="5F58C02A" w:rsidTr="00AF4E74">
        <w:trPr>
          <w:trHeight w:val="20"/>
          <w:jc w:val="center"/>
        </w:trPr>
        <w:tc>
          <w:tcPr>
            <w:tcW w:w="4968" w:type="dxa"/>
            <w:noWrap/>
          </w:tcPr>
          <w:p w14:paraId="21C33B4A" w14:textId="77777777" w:rsidR="001450D2" w:rsidRPr="00577C30" w:rsidRDefault="001450D2" w:rsidP="00577C30">
            <w:pPr>
              <w:jc w:val="both"/>
              <w:rPr>
                <w:rFonts w:eastAsia="Calibri"/>
              </w:rPr>
            </w:pPr>
            <w:r w:rsidRPr="00577C30">
              <w:rPr>
                <w:rFonts w:eastAsia="Calibri"/>
              </w:rPr>
              <w:t>SAM 3020 Consumer Marketing</w:t>
            </w:r>
          </w:p>
        </w:tc>
        <w:tc>
          <w:tcPr>
            <w:tcW w:w="720" w:type="dxa"/>
            <w:noWrap/>
          </w:tcPr>
          <w:p w14:paraId="2667DB04" w14:textId="77777777" w:rsidR="001450D2" w:rsidRPr="00577C30" w:rsidRDefault="001450D2" w:rsidP="00577C30">
            <w:pPr>
              <w:jc w:val="both"/>
              <w:rPr>
                <w:rFonts w:eastAsia="Calibri"/>
              </w:rPr>
            </w:pPr>
            <w:r w:rsidRPr="00577C30">
              <w:rPr>
                <w:rFonts w:eastAsia="Calibri"/>
              </w:rPr>
              <w:t>3</w:t>
            </w:r>
          </w:p>
        </w:tc>
        <w:tc>
          <w:tcPr>
            <w:tcW w:w="3888" w:type="dxa"/>
          </w:tcPr>
          <w:p w14:paraId="6AD10577" w14:textId="77777777" w:rsidR="001450D2" w:rsidRPr="00577C30" w:rsidRDefault="001450D2" w:rsidP="00577C30">
            <w:pPr>
              <w:jc w:val="both"/>
              <w:rPr>
                <w:rFonts w:eastAsia="Calibri"/>
              </w:rPr>
            </w:pPr>
          </w:p>
        </w:tc>
      </w:tr>
      <w:tr w:rsidR="001450D2" w:rsidRPr="00577C30" w14:paraId="6812254C" w14:textId="6FCB89E2" w:rsidTr="00AF4E74">
        <w:trPr>
          <w:trHeight w:val="20"/>
          <w:jc w:val="center"/>
        </w:trPr>
        <w:tc>
          <w:tcPr>
            <w:tcW w:w="4968" w:type="dxa"/>
            <w:noWrap/>
          </w:tcPr>
          <w:p w14:paraId="24474B73" w14:textId="77777777" w:rsidR="001450D2" w:rsidRPr="00577C30" w:rsidRDefault="001450D2" w:rsidP="00577C30">
            <w:pPr>
              <w:jc w:val="both"/>
              <w:rPr>
                <w:rFonts w:eastAsia="Calibri"/>
              </w:rPr>
            </w:pPr>
            <w:r w:rsidRPr="00577C30">
              <w:rPr>
                <w:rFonts w:eastAsia="Calibri"/>
              </w:rPr>
              <w:t>SAM 3050 Supervision Management</w:t>
            </w:r>
          </w:p>
        </w:tc>
        <w:tc>
          <w:tcPr>
            <w:tcW w:w="720" w:type="dxa"/>
            <w:noWrap/>
          </w:tcPr>
          <w:p w14:paraId="7DA618CB" w14:textId="77777777" w:rsidR="001450D2" w:rsidRPr="00577C30" w:rsidRDefault="001450D2" w:rsidP="00577C30">
            <w:pPr>
              <w:jc w:val="both"/>
              <w:rPr>
                <w:rFonts w:eastAsia="Calibri"/>
              </w:rPr>
            </w:pPr>
            <w:r w:rsidRPr="00577C30">
              <w:rPr>
                <w:rFonts w:eastAsia="Calibri"/>
              </w:rPr>
              <w:t>3</w:t>
            </w:r>
          </w:p>
        </w:tc>
        <w:tc>
          <w:tcPr>
            <w:tcW w:w="3888" w:type="dxa"/>
          </w:tcPr>
          <w:p w14:paraId="6E75936B" w14:textId="77777777" w:rsidR="001450D2" w:rsidRPr="00577C30" w:rsidRDefault="001450D2" w:rsidP="00577C30">
            <w:pPr>
              <w:jc w:val="both"/>
              <w:rPr>
                <w:rFonts w:eastAsia="Calibri"/>
              </w:rPr>
            </w:pPr>
          </w:p>
        </w:tc>
      </w:tr>
      <w:tr w:rsidR="001450D2" w:rsidRPr="00577C30" w14:paraId="1E15E1EE" w14:textId="2FA55480" w:rsidTr="00AF4E74">
        <w:trPr>
          <w:trHeight w:val="20"/>
          <w:jc w:val="center"/>
        </w:trPr>
        <w:tc>
          <w:tcPr>
            <w:tcW w:w="4968" w:type="dxa"/>
            <w:noWrap/>
          </w:tcPr>
          <w:p w14:paraId="1B2DB0B3" w14:textId="77777777" w:rsidR="001450D2" w:rsidRPr="00577C30" w:rsidRDefault="001450D2" w:rsidP="00577C30">
            <w:pPr>
              <w:jc w:val="both"/>
              <w:rPr>
                <w:rFonts w:eastAsia="Calibri"/>
              </w:rPr>
            </w:pPr>
            <w:r w:rsidRPr="00577C30">
              <w:rPr>
                <w:rFonts w:eastAsia="Calibri"/>
              </w:rPr>
              <w:t>SAM 3100 Financial Management</w:t>
            </w:r>
          </w:p>
        </w:tc>
        <w:tc>
          <w:tcPr>
            <w:tcW w:w="720" w:type="dxa"/>
            <w:noWrap/>
          </w:tcPr>
          <w:p w14:paraId="398AD4E3" w14:textId="77777777" w:rsidR="001450D2" w:rsidRPr="00577C30" w:rsidRDefault="001450D2" w:rsidP="00577C30">
            <w:pPr>
              <w:jc w:val="both"/>
              <w:rPr>
                <w:rFonts w:eastAsia="Calibri"/>
              </w:rPr>
            </w:pPr>
            <w:r w:rsidRPr="00577C30">
              <w:rPr>
                <w:rFonts w:eastAsia="Calibri"/>
              </w:rPr>
              <w:t>3</w:t>
            </w:r>
          </w:p>
        </w:tc>
        <w:tc>
          <w:tcPr>
            <w:tcW w:w="3888" w:type="dxa"/>
          </w:tcPr>
          <w:p w14:paraId="74A78A3D" w14:textId="77777777" w:rsidR="001450D2" w:rsidRPr="00577C30" w:rsidRDefault="001450D2" w:rsidP="00577C30">
            <w:pPr>
              <w:jc w:val="both"/>
              <w:rPr>
                <w:rFonts w:eastAsia="Calibri"/>
              </w:rPr>
            </w:pPr>
          </w:p>
        </w:tc>
      </w:tr>
      <w:tr w:rsidR="001450D2" w:rsidRPr="00577C30" w14:paraId="1DDB3D89" w14:textId="5A6F3AE6" w:rsidTr="00AF4E74">
        <w:trPr>
          <w:trHeight w:val="20"/>
          <w:jc w:val="center"/>
        </w:trPr>
        <w:tc>
          <w:tcPr>
            <w:tcW w:w="4968" w:type="dxa"/>
            <w:noWrap/>
          </w:tcPr>
          <w:p w14:paraId="48893CA7" w14:textId="2255071A" w:rsidR="001450D2" w:rsidRPr="00577C30" w:rsidRDefault="001450D2" w:rsidP="00577C30">
            <w:pPr>
              <w:jc w:val="both"/>
              <w:rPr>
                <w:rFonts w:eastAsia="Calibri"/>
              </w:rPr>
            </w:pPr>
            <w:r w:rsidRPr="00577C30">
              <w:rPr>
                <w:rFonts w:eastAsia="Calibri"/>
              </w:rPr>
              <w:t>SAM 4700 Managing Strategically</w:t>
            </w:r>
          </w:p>
        </w:tc>
        <w:tc>
          <w:tcPr>
            <w:tcW w:w="720" w:type="dxa"/>
            <w:noWrap/>
          </w:tcPr>
          <w:p w14:paraId="2334061D" w14:textId="77777777" w:rsidR="001450D2" w:rsidRPr="00577C30" w:rsidRDefault="001450D2" w:rsidP="00577C30">
            <w:pPr>
              <w:jc w:val="both"/>
              <w:rPr>
                <w:rFonts w:eastAsia="Calibri"/>
              </w:rPr>
            </w:pPr>
            <w:r w:rsidRPr="00577C30">
              <w:rPr>
                <w:rFonts w:eastAsia="Calibri"/>
              </w:rPr>
              <w:t>3</w:t>
            </w:r>
          </w:p>
        </w:tc>
        <w:tc>
          <w:tcPr>
            <w:tcW w:w="3888" w:type="dxa"/>
          </w:tcPr>
          <w:p w14:paraId="78336364" w14:textId="77777777" w:rsidR="001450D2" w:rsidRPr="00577C30" w:rsidRDefault="001450D2" w:rsidP="00577C30">
            <w:pPr>
              <w:jc w:val="both"/>
              <w:rPr>
                <w:rFonts w:eastAsia="Calibri"/>
              </w:rPr>
            </w:pPr>
          </w:p>
        </w:tc>
      </w:tr>
      <w:tr w:rsidR="001450D2" w:rsidRPr="00577C30" w14:paraId="1A4F4B30" w14:textId="6678EB5C" w:rsidTr="00AF4E74">
        <w:trPr>
          <w:trHeight w:val="20"/>
          <w:jc w:val="center"/>
        </w:trPr>
        <w:tc>
          <w:tcPr>
            <w:tcW w:w="4968" w:type="dxa"/>
            <w:noWrap/>
          </w:tcPr>
          <w:p w14:paraId="1EE9B495" w14:textId="00632602" w:rsidR="001450D2" w:rsidRPr="00577C30" w:rsidRDefault="001450D2" w:rsidP="00577C30">
            <w:pPr>
              <w:jc w:val="both"/>
              <w:rPr>
                <w:rFonts w:eastAsia="Calibri"/>
              </w:rPr>
            </w:pPr>
            <w:r w:rsidRPr="00577C30">
              <w:rPr>
                <w:rFonts w:eastAsia="Calibri"/>
              </w:rPr>
              <w:t>SAM 3030 Intro to BSB and Career Development</w:t>
            </w:r>
          </w:p>
        </w:tc>
        <w:tc>
          <w:tcPr>
            <w:tcW w:w="720" w:type="dxa"/>
            <w:noWrap/>
          </w:tcPr>
          <w:p w14:paraId="45A306F9" w14:textId="77777777" w:rsidR="001450D2" w:rsidRPr="00577C30" w:rsidRDefault="001450D2" w:rsidP="00577C30">
            <w:pPr>
              <w:jc w:val="both"/>
              <w:rPr>
                <w:rFonts w:eastAsia="Calibri"/>
              </w:rPr>
            </w:pPr>
            <w:r w:rsidRPr="00577C30">
              <w:rPr>
                <w:rFonts w:eastAsia="Calibri"/>
              </w:rPr>
              <w:t>1</w:t>
            </w:r>
          </w:p>
        </w:tc>
        <w:tc>
          <w:tcPr>
            <w:tcW w:w="3888" w:type="dxa"/>
          </w:tcPr>
          <w:p w14:paraId="47EA2853" w14:textId="77777777" w:rsidR="001450D2" w:rsidRPr="00577C30" w:rsidRDefault="001450D2" w:rsidP="00577C30">
            <w:pPr>
              <w:jc w:val="both"/>
              <w:rPr>
                <w:rFonts w:eastAsia="Calibri"/>
              </w:rPr>
            </w:pPr>
          </w:p>
        </w:tc>
      </w:tr>
      <w:tr w:rsidR="001450D2" w:rsidRPr="00577C30" w14:paraId="4F347EE9" w14:textId="7D19D450" w:rsidTr="00AF4E74">
        <w:trPr>
          <w:trHeight w:val="20"/>
          <w:jc w:val="center"/>
        </w:trPr>
        <w:tc>
          <w:tcPr>
            <w:tcW w:w="4968" w:type="dxa"/>
            <w:noWrap/>
          </w:tcPr>
          <w:p w14:paraId="6F0423E9" w14:textId="6A264C0A" w:rsidR="001450D2" w:rsidRPr="00577C30" w:rsidRDefault="001450D2" w:rsidP="00577C30">
            <w:pPr>
              <w:jc w:val="both"/>
              <w:rPr>
                <w:rFonts w:eastAsia="Calibri"/>
              </w:rPr>
            </w:pPr>
            <w:r w:rsidRPr="00577C30">
              <w:rPr>
                <w:rFonts w:eastAsia="Calibri"/>
              </w:rPr>
              <w:t>SAM 3640 Cultural Intelligence in Business</w:t>
            </w:r>
          </w:p>
        </w:tc>
        <w:tc>
          <w:tcPr>
            <w:tcW w:w="720" w:type="dxa"/>
            <w:noWrap/>
          </w:tcPr>
          <w:p w14:paraId="6C2E81BF" w14:textId="77777777" w:rsidR="001450D2" w:rsidRPr="00577C30" w:rsidRDefault="001450D2" w:rsidP="00577C30">
            <w:pPr>
              <w:jc w:val="both"/>
              <w:rPr>
                <w:rFonts w:eastAsia="Calibri"/>
              </w:rPr>
            </w:pPr>
            <w:r w:rsidRPr="00577C30">
              <w:rPr>
                <w:rFonts w:eastAsia="Calibri"/>
              </w:rPr>
              <w:t>1</w:t>
            </w:r>
          </w:p>
        </w:tc>
        <w:tc>
          <w:tcPr>
            <w:tcW w:w="3888" w:type="dxa"/>
          </w:tcPr>
          <w:p w14:paraId="62F2EAEF" w14:textId="7598268C" w:rsidR="001450D2" w:rsidRPr="00577C30" w:rsidRDefault="00AF4E74" w:rsidP="00577C30">
            <w:pPr>
              <w:jc w:val="both"/>
              <w:rPr>
                <w:rFonts w:eastAsia="Calibri"/>
              </w:rPr>
            </w:pPr>
            <w:r w:rsidRPr="00577C30">
              <w:rPr>
                <w:rFonts w:eastAsia="Calibri"/>
                <w:i/>
                <w:iCs/>
              </w:rPr>
              <w:t>Bridge: Diversity &amp; Practice</w:t>
            </w:r>
          </w:p>
        </w:tc>
      </w:tr>
      <w:tr w:rsidR="001450D2" w:rsidRPr="00577C30" w14:paraId="42C17BD2" w14:textId="1C2BC5FE" w:rsidTr="00AF4E74">
        <w:trPr>
          <w:trHeight w:val="20"/>
          <w:jc w:val="center"/>
        </w:trPr>
        <w:tc>
          <w:tcPr>
            <w:tcW w:w="4968" w:type="dxa"/>
            <w:noWrap/>
          </w:tcPr>
          <w:p w14:paraId="2BF59AAB" w14:textId="6342EE6B" w:rsidR="001450D2" w:rsidRPr="00577C30" w:rsidRDefault="001450D2" w:rsidP="00577C30">
            <w:pPr>
              <w:jc w:val="both"/>
              <w:rPr>
                <w:rFonts w:eastAsia="Calibri"/>
                <w:b/>
                <w:bCs/>
              </w:rPr>
            </w:pPr>
            <w:r w:rsidRPr="00577C30">
              <w:rPr>
                <w:rFonts w:eastAsia="Calibri"/>
              </w:rPr>
              <w:t>SAM 3900 Topics in Business Ethics</w:t>
            </w:r>
          </w:p>
        </w:tc>
        <w:tc>
          <w:tcPr>
            <w:tcW w:w="720" w:type="dxa"/>
            <w:noWrap/>
          </w:tcPr>
          <w:p w14:paraId="6AC92C9D" w14:textId="77777777" w:rsidR="001450D2" w:rsidRPr="00577C30" w:rsidRDefault="001450D2" w:rsidP="00577C30">
            <w:pPr>
              <w:jc w:val="both"/>
              <w:rPr>
                <w:rFonts w:eastAsia="Calibri"/>
                <w:b/>
                <w:bCs/>
              </w:rPr>
            </w:pPr>
            <w:r w:rsidRPr="00577C30">
              <w:rPr>
                <w:rFonts w:eastAsia="Calibri"/>
              </w:rPr>
              <w:t>1</w:t>
            </w:r>
          </w:p>
        </w:tc>
        <w:tc>
          <w:tcPr>
            <w:tcW w:w="3888" w:type="dxa"/>
          </w:tcPr>
          <w:p w14:paraId="56575BB7" w14:textId="17D3DB4B" w:rsidR="001450D2" w:rsidRPr="00577C30" w:rsidRDefault="00AF4E74" w:rsidP="00577C30">
            <w:pPr>
              <w:jc w:val="both"/>
              <w:rPr>
                <w:rFonts w:eastAsia="Calibri"/>
                <w:i/>
                <w:iCs/>
              </w:rPr>
            </w:pPr>
            <w:r w:rsidRPr="00577C30">
              <w:rPr>
                <w:rFonts w:eastAsia="Calibri"/>
                <w:i/>
                <w:iCs/>
              </w:rPr>
              <w:t>Bridge: Ethics &amp; Reasoning</w:t>
            </w:r>
          </w:p>
        </w:tc>
      </w:tr>
      <w:tr w:rsidR="001450D2" w:rsidRPr="00577C30" w14:paraId="2A0AB4F8" w14:textId="70666F64" w:rsidTr="00AF4E74">
        <w:trPr>
          <w:trHeight w:val="20"/>
          <w:jc w:val="center"/>
        </w:trPr>
        <w:tc>
          <w:tcPr>
            <w:tcW w:w="4968" w:type="dxa"/>
            <w:noWrap/>
          </w:tcPr>
          <w:p w14:paraId="13B7F9A3" w14:textId="2E3D98B3" w:rsidR="001450D2" w:rsidRPr="00577C30" w:rsidRDefault="001450D2" w:rsidP="00577C30">
            <w:pPr>
              <w:jc w:val="both"/>
              <w:rPr>
                <w:rFonts w:eastAsia="Calibri"/>
                <w:b/>
                <w:bCs/>
              </w:rPr>
            </w:pPr>
            <w:r w:rsidRPr="00577C30">
              <w:rPr>
                <w:rFonts w:eastAsia="Calibri"/>
              </w:rPr>
              <w:t>SAM 3905 Internship and Career Preparation</w:t>
            </w:r>
          </w:p>
        </w:tc>
        <w:tc>
          <w:tcPr>
            <w:tcW w:w="720" w:type="dxa"/>
            <w:noWrap/>
          </w:tcPr>
          <w:p w14:paraId="13406FB9" w14:textId="77777777" w:rsidR="001450D2" w:rsidRPr="00577C30" w:rsidRDefault="001450D2" w:rsidP="00577C30">
            <w:pPr>
              <w:jc w:val="both"/>
              <w:rPr>
                <w:rFonts w:eastAsia="Calibri"/>
                <w:b/>
                <w:bCs/>
              </w:rPr>
            </w:pPr>
            <w:r w:rsidRPr="00577C30">
              <w:rPr>
                <w:rFonts w:eastAsia="Calibri"/>
              </w:rPr>
              <w:t>1</w:t>
            </w:r>
          </w:p>
        </w:tc>
        <w:tc>
          <w:tcPr>
            <w:tcW w:w="3888" w:type="dxa"/>
          </w:tcPr>
          <w:p w14:paraId="24CC4F75" w14:textId="77777777" w:rsidR="001450D2" w:rsidRPr="00577C30" w:rsidRDefault="001450D2" w:rsidP="00577C30">
            <w:pPr>
              <w:jc w:val="both"/>
              <w:rPr>
                <w:rFonts w:eastAsia="Calibri"/>
              </w:rPr>
            </w:pPr>
          </w:p>
        </w:tc>
      </w:tr>
      <w:tr w:rsidR="001450D2" w:rsidRPr="00577C30" w14:paraId="47C7A78B" w14:textId="4D11065B" w:rsidTr="00AF4E74">
        <w:trPr>
          <w:trHeight w:val="20"/>
          <w:jc w:val="center"/>
        </w:trPr>
        <w:tc>
          <w:tcPr>
            <w:tcW w:w="4968" w:type="dxa"/>
            <w:noWrap/>
          </w:tcPr>
          <w:p w14:paraId="77CD60BD" w14:textId="07419D89" w:rsidR="001450D2" w:rsidRPr="00577C30" w:rsidRDefault="001450D2" w:rsidP="00577C30">
            <w:pPr>
              <w:jc w:val="both"/>
              <w:rPr>
                <w:rFonts w:eastAsia="Calibri"/>
                <w:b/>
                <w:bCs/>
              </w:rPr>
            </w:pPr>
            <w:r w:rsidRPr="00577C30">
              <w:rPr>
                <w:rFonts w:eastAsia="Calibri"/>
              </w:rPr>
              <w:t>SAM 3910 Internship</w:t>
            </w:r>
          </w:p>
        </w:tc>
        <w:tc>
          <w:tcPr>
            <w:tcW w:w="720" w:type="dxa"/>
            <w:noWrap/>
          </w:tcPr>
          <w:p w14:paraId="67BFE52C" w14:textId="3223F7DA" w:rsidR="001450D2" w:rsidRPr="00577C30" w:rsidRDefault="001450D2" w:rsidP="00577C30">
            <w:pPr>
              <w:jc w:val="both"/>
              <w:rPr>
                <w:rFonts w:eastAsia="Calibri"/>
                <w:b/>
                <w:bCs/>
              </w:rPr>
            </w:pPr>
            <w:r w:rsidRPr="00577C30">
              <w:rPr>
                <w:rFonts w:eastAsia="Calibri"/>
              </w:rPr>
              <w:t>1</w:t>
            </w:r>
          </w:p>
        </w:tc>
        <w:tc>
          <w:tcPr>
            <w:tcW w:w="3888" w:type="dxa"/>
          </w:tcPr>
          <w:p w14:paraId="212DBC82" w14:textId="4D043E2A" w:rsidR="001450D2" w:rsidRPr="00577C30" w:rsidRDefault="00AF4E74" w:rsidP="00577C30">
            <w:pPr>
              <w:jc w:val="both"/>
              <w:rPr>
                <w:rFonts w:eastAsia="Calibri"/>
              </w:rPr>
            </w:pPr>
            <w:r w:rsidRPr="00577C30">
              <w:rPr>
                <w:rFonts w:eastAsia="Calibri"/>
                <w:i/>
                <w:iCs/>
              </w:rPr>
              <w:t>Bridge: Learning &amp; Doing</w:t>
            </w:r>
          </w:p>
        </w:tc>
      </w:tr>
      <w:tr w:rsidR="001450D2" w:rsidRPr="00577C30" w14:paraId="2B31C063" w14:textId="5434E1BE" w:rsidTr="00AF4E74">
        <w:trPr>
          <w:trHeight w:val="20"/>
          <w:jc w:val="center"/>
        </w:trPr>
        <w:tc>
          <w:tcPr>
            <w:tcW w:w="4968" w:type="dxa"/>
            <w:shd w:val="clear" w:color="auto" w:fill="E7E6E6"/>
            <w:noWrap/>
            <w:hideMark/>
          </w:tcPr>
          <w:p w14:paraId="7C551D72" w14:textId="25008B2E" w:rsidR="001450D2" w:rsidRPr="00577C30" w:rsidRDefault="00AF4E74" w:rsidP="00577C30">
            <w:pPr>
              <w:jc w:val="both"/>
              <w:rPr>
                <w:rFonts w:eastAsia="Calibri"/>
                <w:b/>
                <w:bCs/>
              </w:rPr>
            </w:pPr>
            <w:r w:rsidRPr="00577C30">
              <w:rPr>
                <w:rFonts w:eastAsia="Calibri"/>
                <w:b/>
                <w:bCs/>
              </w:rPr>
              <w:t>Major Electives</w:t>
            </w:r>
            <w:r w:rsidR="001450D2" w:rsidRPr="00577C30">
              <w:rPr>
                <w:rFonts w:eastAsia="Calibri"/>
                <w:b/>
                <w:bCs/>
              </w:rPr>
              <w:t xml:space="preserve"> </w:t>
            </w:r>
            <w:r w:rsidR="001450D2" w:rsidRPr="00577C30">
              <w:rPr>
                <w:rFonts w:eastAsia="Calibri"/>
                <w:i/>
                <w:iCs/>
              </w:rPr>
              <w:t>(select one)</w:t>
            </w:r>
          </w:p>
        </w:tc>
        <w:tc>
          <w:tcPr>
            <w:tcW w:w="720" w:type="dxa"/>
            <w:shd w:val="clear" w:color="auto" w:fill="E7E6E6"/>
            <w:noWrap/>
            <w:hideMark/>
          </w:tcPr>
          <w:p w14:paraId="05EB33E0" w14:textId="77777777" w:rsidR="001450D2" w:rsidRPr="00577C30" w:rsidRDefault="001450D2" w:rsidP="00577C30">
            <w:pPr>
              <w:jc w:val="both"/>
              <w:rPr>
                <w:rFonts w:eastAsia="Calibri"/>
                <w:b/>
                <w:bCs/>
              </w:rPr>
            </w:pPr>
          </w:p>
        </w:tc>
        <w:tc>
          <w:tcPr>
            <w:tcW w:w="3888" w:type="dxa"/>
            <w:shd w:val="clear" w:color="auto" w:fill="E7E6E6"/>
          </w:tcPr>
          <w:p w14:paraId="0BC51230" w14:textId="77777777" w:rsidR="001450D2" w:rsidRPr="00577C30" w:rsidRDefault="001450D2" w:rsidP="00577C30">
            <w:pPr>
              <w:jc w:val="both"/>
              <w:rPr>
                <w:rFonts w:eastAsia="Calibri"/>
                <w:b/>
                <w:bCs/>
              </w:rPr>
            </w:pPr>
          </w:p>
        </w:tc>
      </w:tr>
      <w:tr w:rsidR="001450D2" w:rsidRPr="00577C30" w14:paraId="4F1FBA4B" w14:textId="22577EF3" w:rsidTr="00AF4E74">
        <w:trPr>
          <w:trHeight w:val="20"/>
          <w:jc w:val="center"/>
        </w:trPr>
        <w:tc>
          <w:tcPr>
            <w:tcW w:w="4968" w:type="dxa"/>
            <w:noWrap/>
            <w:hideMark/>
          </w:tcPr>
          <w:p w14:paraId="2EAE6FA8" w14:textId="695B11A4" w:rsidR="00AF4E74" w:rsidRPr="00577C30" w:rsidRDefault="00AF4E74" w:rsidP="00577C30">
            <w:pPr>
              <w:jc w:val="both"/>
              <w:rPr>
                <w:rFonts w:eastAsia="Calibri"/>
              </w:rPr>
            </w:pPr>
            <w:r w:rsidRPr="00577C30">
              <w:rPr>
                <w:rFonts w:eastAsia="Calibri"/>
              </w:rPr>
              <w:t>Complete one approved minor or certificate</w:t>
            </w:r>
          </w:p>
        </w:tc>
        <w:tc>
          <w:tcPr>
            <w:tcW w:w="720" w:type="dxa"/>
            <w:noWrap/>
            <w:hideMark/>
          </w:tcPr>
          <w:p w14:paraId="597A97D5" w14:textId="540583BB" w:rsidR="001450D2" w:rsidRPr="00577C30" w:rsidRDefault="001450D2" w:rsidP="00577C30">
            <w:pPr>
              <w:jc w:val="both"/>
              <w:rPr>
                <w:rFonts w:eastAsia="Calibri"/>
              </w:rPr>
            </w:pPr>
            <w:r w:rsidRPr="00577C30">
              <w:rPr>
                <w:rFonts w:eastAsia="Calibri"/>
              </w:rPr>
              <w:t>15</w:t>
            </w:r>
          </w:p>
        </w:tc>
        <w:tc>
          <w:tcPr>
            <w:tcW w:w="3888" w:type="dxa"/>
          </w:tcPr>
          <w:p w14:paraId="11ADFD02" w14:textId="4E2AC995" w:rsidR="001450D2" w:rsidRPr="00577C30" w:rsidRDefault="00AF4E74" w:rsidP="00577C30">
            <w:pPr>
              <w:rPr>
                <w:rFonts w:eastAsia="Calibri"/>
              </w:rPr>
            </w:pPr>
            <w:r w:rsidRPr="00577C30">
              <w:rPr>
                <w:rFonts w:eastAsia="Calibri"/>
              </w:rPr>
              <w:t>Approved Options: Marketing Minor, Human Resource Management Certificate, Supply Chain Management Certificate, or Technical Project Management Certificate</w:t>
            </w:r>
          </w:p>
        </w:tc>
      </w:tr>
    </w:tbl>
    <w:p w14:paraId="5B01F3BA" w14:textId="3BBD9055" w:rsidR="00A1326E" w:rsidRPr="00577C30" w:rsidRDefault="00A1326E" w:rsidP="00577C30">
      <w:pPr>
        <w:jc w:val="both"/>
      </w:pPr>
      <w:r w:rsidRPr="00577C30">
        <w:br w:type="page"/>
      </w:r>
    </w:p>
    <w:p w14:paraId="74D93BEB" w14:textId="05CB156F" w:rsidR="00A1326E" w:rsidRPr="00577C30" w:rsidRDefault="00A1326E" w:rsidP="00577C30">
      <w:pPr>
        <w:pStyle w:val="Heading1"/>
        <w:ind w:left="0" w:firstLine="0"/>
        <w:jc w:val="both"/>
        <w:rPr>
          <w:sz w:val="22"/>
          <w:szCs w:val="22"/>
        </w:rPr>
      </w:pPr>
      <w:r w:rsidRPr="00577C30">
        <w:rPr>
          <w:sz w:val="22"/>
          <w:szCs w:val="22"/>
        </w:rPr>
        <w:lastRenderedPageBreak/>
        <w:t>Appendix B: Support from the Institutional</w:t>
      </w:r>
      <w:r w:rsidRPr="00577C30">
        <w:rPr>
          <w:spacing w:val="-5"/>
          <w:sz w:val="22"/>
          <w:szCs w:val="22"/>
        </w:rPr>
        <w:t xml:space="preserve"> </w:t>
      </w:r>
      <w:r w:rsidRPr="00577C30">
        <w:rPr>
          <w:sz w:val="22"/>
          <w:szCs w:val="22"/>
        </w:rPr>
        <w:t>Effectiveness</w:t>
      </w:r>
      <w:r w:rsidRPr="00577C30">
        <w:rPr>
          <w:spacing w:val="-5"/>
          <w:sz w:val="22"/>
          <w:szCs w:val="22"/>
        </w:rPr>
        <w:t xml:space="preserve"> </w:t>
      </w:r>
      <w:r w:rsidRPr="00577C30">
        <w:rPr>
          <w:sz w:val="22"/>
          <w:szCs w:val="22"/>
        </w:rPr>
        <w:t>and</w:t>
      </w:r>
      <w:r w:rsidRPr="00577C30">
        <w:rPr>
          <w:spacing w:val="-5"/>
          <w:sz w:val="22"/>
          <w:szCs w:val="22"/>
        </w:rPr>
        <w:t xml:space="preserve"> </w:t>
      </w:r>
      <w:r w:rsidRPr="00577C30">
        <w:rPr>
          <w:sz w:val="22"/>
          <w:szCs w:val="22"/>
        </w:rPr>
        <w:t>Analytics</w:t>
      </w:r>
      <w:r w:rsidRPr="00577C30">
        <w:rPr>
          <w:spacing w:val="-5"/>
          <w:sz w:val="22"/>
          <w:szCs w:val="22"/>
        </w:rPr>
        <w:t xml:space="preserve"> </w:t>
      </w:r>
      <w:r w:rsidRPr="00577C30">
        <w:rPr>
          <w:sz w:val="22"/>
          <w:szCs w:val="22"/>
        </w:rPr>
        <w:t>(IEA)</w:t>
      </w:r>
    </w:p>
    <w:p w14:paraId="20199A05" w14:textId="77777777" w:rsidR="00A1326E" w:rsidRPr="00577C30" w:rsidRDefault="00A1326E" w:rsidP="00577C30">
      <w:pPr>
        <w:pStyle w:val="BodyText"/>
        <w:ind w:left="0"/>
        <w:jc w:val="both"/>
        <w:rPr>
          <w:sz w:val="22"/>
          <w:szCs w:val="22"/>
        </w:rPr>
      </w:pPr>
    </w:p>
    <w:p w14:paraId="4FF4F412" w14:textId="77777777" w:rsidR="00EF0849" w:rsidRPr="00577C30" w:rsidRDefault="00EF0849" w:rsidP="00EF0849">
      <w:pPr>
        <w:pStyle w:val="BodyText"/>
        <w:ind w:left="0"/>
        <w:rPr>
          <w:sz w:val="22"/>
          <w:szCs w:val="22"/>
        </w:rPr>
      </w:pPr>
      <w:r w:rsidRPr="00577C30">
        <w:rPr>
          <w:sz w:val="22"/>
          <w:szCs w:val="22"/>
        </w:rPr>
        <w:t>Institutional</w:t>
      </w:r>
      <w:r w:rsidRPr="00577C30">
        <w:rPr>
          <w:spacing w:val="-5"/>
          <w:sz w:val="22"/>
          <w:szCs w:val="22"/>
        </w:rPr>
        <w:t xml:space="preserve"> </w:t>
      </w:r>
      <w:r w:rsidRPr="00577C30">
        <w:rPr>
          <w:sz w:val="22"/>
          <w:szCs w:val="22"/>
        </w:rPr>
        <w:t>Effectiveness</w:t>
      </w:r>
      <w:r w:rsidRPr="00577C30">
        <w:rPr>
          <w:spacing w:val="-5"/>
          <w:sz w:val="22"/>
          <w:szCs w:val="22"/>
        </w:rPr>
        <w:t xml:space="preserve"> </w:t>
      </w:r>
      <w:r w:rsidRPr="00577C30">
        <w:rPr>
          <w:sz w:val="22"/>
          <w:szCs w:val="22"/>
        </w:rPr>
        <w:t>and</w:t>
      </w:r>
      <w:r w:rsidRPr="00577C30">
        <w:rPr>
          <w:spacing w:val="-5"/>
          <w:sz w:val="22"/>
          <w:szCs w:val="22"/>
        </w:rPr>
        <w:t xml:space="preserve"> </w:t>
      </w:r>
      <w:r w:rsidRPr="00577C30">
        <w:rPr>
          <w:sz w:val="22"/>
          <w:szCs w:val="22"/>
        </w:rPr>
        <w:t>Analytics</w:t>
      </w:r>
      <w:r w:rsidRPr="00577C30">
        <w:rPr>
          <w:spacing w:val="-5"/>
          <w:sz w:val="22"/>
          <w:szCs w:val="22"/>
        </w:rPr>
        <w:t xml:space="preserve"> </w:t>
      </w:r>
      <w:r w:rsidRPr="00577C30">
        <w:rPr>
          <w:sz w:val="22"/>
          <w:szCs w:val="22"/>
        </w:rPr>
        <w:t>(IEA),</w:t>
      </w:r>
      <w:r w:rsidRPr="00577C30">
        <w:rPr>
          <w:spacing w:val="-5"/>
          <w:sz w:val="22"/>
          <w:szCs w:val="22"/>
        </w:rPr>
        <w:t xml:space="preserve"> </w:t>
      </w:r>
      <w:r w:rsidRPr="00577C30">
        <w:rPr>
          <w:sz w:val="22"/>
          <w:szCs w:val="22"/>
        </w:rPr>
        <w:t>formerly</w:t>
      </w:r>
      <w:r w:rsidRPr="00577C30">
        <w:rPr>
          <w:spacing w:val="-5"/>
          <w:sz w:val="22"/>
          <w:szCs w:val="22"/>
        </w:rPr>
        <w:t xml:space="preserve"> </w:t>
      </w:r>
      <w:r w:rsidRPr="00577C30">
        <w:rPr>
          <w:sz w:val="22"/>
          <w:szCs w:val="22"/>
        </w:rPr>
        <w:t>Institutional</w:t>
      </w:r>
      <w:r w:rsidRPr="00577C30">
        <w:rPr>
          <w:spacing w:val="-5"/>
          <w:sz w:val="22"/>
          <w:szCs w:val="22"/>
        </w:rPr>
        <w:t xml:space="preserve"> </w:t>
      </w:r>
      <w:r w:rsidRPr="00577C30">
        <w:rPr>
          <w:sz w:val="22"/>
          <w:szCs w:val="22"/>
        </w:rPr>
        <w:t>Research</w:t>
      </w:r>
      <w:r w:rsidRPr="00577C30">
        <w:rPr>
          <w:spacing w:val="-5"/>
          <w:sz w:val="22"/>
          <w:szCs w:val="22"/>
        </w:rPr>
        <w:t xml:space="preserve"> </w:t>
      </w:r>
      <w:r w:rsidRPr="00577C30">
        <w:rPr>
          <w:sz w:val="22"/>
          <w:szCs w:val="22"/>
        </w:rPr>
        <w:t>&amp;</w:t>
      </w:r>
      <w:r w:rsidRPr="00577C30">
        <w:rPr>
          <w:spacing w:val="-5"/>
          <w:sz w:val="22"/>
          <w:szCs w:val="22"/>
        </w:rPr>
        <w:t xml:space="preserve"> </w:t>
      </w:r>
      <w:r w:rsidRPr="00577C30">
        <w:rPr>
          <w:sz w:val="22"/>
          <w:szCs w:val="22"/>
        </w:rPr>
        <w:t>Effectiveness, can provide some data support for programs completing a self-study through the Academic Review Process.</w:t>
      </w:r>
      <w:r w:rsidRPr="00577C30">
        <w:rPr>
          <w:spacing w:val="40"/>
          <w:sz w:val="22"/>
          <w:szCs w:val="22"/>
        </w:rPr>
        <w:t xml:space="preserve"> </w:t>
      </w:r>
      <w:r w:rsidRPr="00577C30">
        <w:rPr>
          <w:sz w:val="22"/>
          <w:szCs w:val="22"/>
        </w:rPr>
        <w:t>There are five distinct sources of support that IEA provides to departments, schools or programs completing their self-studies:</w:t>
      </w:r>
    </w:p>
    <w:p w14:paraId="03444164" w14:textId="77777777" w:rsidR="00EF0849" w:rsidRPr="00577C30" w:rsidRDefault="00EF0849" w:rsidP="00EF0849">
      <w:pPr>
        <w:pStyle w:val="ListParagraph"/>
        <w:numPr>
          <w:ilvl w:val="0"/>
          <w:numId w:val="14"/>
        </w:numPr>
        <w:tabs>
          <w:tab w:val="left" w:pos="926"/>
        </w:tabs>
      </w:pPr>
      <w:r w:rsidRPr="00577C30">
        <w:t>Academic</w:t>
      </w:r>
      <w:r w:rsidRPr="00577C30">
        <w:rPr>
          <w:spacing w:val="-6"/>
        </w:rPr>
        <w:t xml:space="preserve"> </w:t>
      </w:r>
      <w:r w:rsidRPr="00577C30">
        <w:t>Program</w:t>
      </w:r>
      <w:r w:rsidRPr="00577C30">
        <w:rPr>
          <w:spacing w:val="-7"/>
        </w:rPr>
        <w:t xml:space="preserve"> </w:t>
      </w:r>
      <w:r w:rsidRPr="00577C30">
        <w:t>Review</w:t>
      </w:r>
      <w:r w:rsidRPr="00577C30">
        <w:rPr>
          <w:spacing w:val="-6"/>
        </w:rPr>
        <w:t xml:space="preserve"> </w:t>
      </w:r>
      <w:r w:rsidRPr="00577C30">
        <w:t>OBIEE</w:t>
      </w:r>
      <w:r w:rsidRPr="00577C30">
        <w:rPr>
          <w:spacing w:val="-6"/>
        </w:rPr>
        <w:t xml:space="preserve"> </w:t>
      </w:r>
      <w:r w:rsidRPr="00577C30">
        <w:rPr>
          <w:spacing w:val="-2"/>
        </w:rPr>
        <w:t>Reports</w:t>
      </w:r>
    </w:p>
    <w:p w14:paraId="6C8D4D8D" w14:textId="77777777" w:rsidR="00EF0849" w:rsidRPr="00577C30" w:rsidRDefault="00EF0849" w:rsidP="00EF0849">
      <w:pPr>
        <w:pStyle w:val="ListParagraph"/>
        <w:numPr>
          <w:ilvl w:val="0"/>
          <w:numId w:val="14"/>
        </w:numPr>
        <w:tabs>
          <w:tab w:val="left" w:pos="926"/>
        </w:tabs>
      </w:pPr>
      <w:r w:rsidRPr="00577C30">
        <w:t>IEA</w:t>
      </w:r>
      <w:r w:rsidRPr="00577C30">
        <w:rPr>
          <w:spacing w:val="-2"/>
        </w:rPr>
        <w:t xml:space="preserve"> </w:t>
      </w:r>
      <w:r w:rsidRPr="00577C30">
        <w:t>Website</w:t>
      </w:r>
      <w:r w:rsidRPr="00577C30">
        <w:rPr>
          <w:spacing w:val="-2"/>
        </w:rPr>
        <w:t xml:space="preserve"> Sources</w:t>
      </w:r>
    </w:p>
    <w:p w14:paraId="03E50B39" w14:textId="77777777" w:rsidR="00EF0849" w:rsidRPr="00577C30" w:rsidRDefault="00EF0849" w:rsidP="00EF0849">
      <w:pPr>
        <w:pStyle w:val="ListParagraph"/>
        <w:numPr>
          <w:ilvl w:val="0"/>
          <w:numId w:val="14"/>
        </w:numPr>
        <w:tabs>
          <w:tab w:val="left" w:pos="926"/>
        </w:tabs>
      </w:pPr>
      <w:r w:rsidRPr="00577C30">
        <w:t>Analytics</w:t>
      </w:r>
      <w:r w:rsidRPr="00577C30">
        <w:rPr>
          <w:spacing w:val="-3"/>
        </w:rPr>
        <w:t xml:space="preserve"> </w:t>
      </w:r>
      <w:r w:rsidRPr="00577C30">
        <w:t>&amp;</w:t>
      </w:r>
      <w:r w:rsidRPr="00577C30">
        <w:rPr>
          <w:spacing w:val="-2"/>
        </w:rPr>
        <w:t xml:space="preserve"> </w:t>
      </w:r>
      <w:r w:rsidRPr="00577C30">
        <w:t>Decision</w:t>
      </w:r>
      <w:r w:rsidRPr="00577C30">
        <w:rPr>
          <w:spacing w:val="-3"/>
        </w:rPr>
        <w:t xml:space="preserve"> </w:t>
      </w:r>
      <w:r w:rsidRPr="00577C30">
        <w:t>Support</w:t>
      </w:r>
      <w:r w:rsidRPr="00577C30">
        <w:rPr>
          <w:spacing w:val="-2"/>
        </w:rPr>
        <w:t xml:space="preserve"> </w:t>
      </w:r>
      <w:r w:rsidRPr="00577C30">
        <w:t>(ADS)</w:t>
      </w:r>
      <w:r w:rsidRPr="00577C30">
        <w:rPr>
          <w:spacing w:val="-5"/>
        </w:rPr>
        <w:t xml:space="preserve"> </w:t>
      </w:r>
    </w:p>
    <w:p w14:paraId="04EC2A9B" w14:textId="77777777" w:rsidR="00EF0849" w:rsidRPr="00577C30" w:rsidRDefault="00EF0849" w:rsidP="00EF0849">
      <w:pPr>
        <w:pStyle w:val="ListParagraph"/>
        <w:numPr>
          <w:ilvl w:val="0"/>
          <w:numId w:val="14"/>
        </w:numPr>
        <w:tabs>
          <w:tab w:val="left" w:pos="926"/>
        </w:tabs>
      </w:pPr>
      <w:r w:rsidRPr="00577C30">
        <w:t>Assessment</w:t>
      </w:r>
      <w:r w:rsidRPr="00577C30">
        <w:rPr>
          <w:spacing w:val="-9"/>
        </w:rPr>
        <w:t xml:space="preserve"> </w:t>
      </w:r>
      <w:r w:rsidRPr="00577C30">
        <w:rPr>
          <w:spacing w:val="-2"/>
        </w:rPr>
        <w:t>Clearinghouse</w:t>
      </w:r>
    </w:p>
    <w:p w14:paraId="732B25D1" w14:textId="77777777" w:rsidR="00EF0849" w:rsidRPr="00577C30" w:rsidRDefault="00EF0849" w:rsidP="00EF0849">
      <w:pPr>
        <w:pStyle w:val="ListParagraph"/>
        <w:numPr>
          <w:ilvl w:val="0"/>
          <w:numId w:val="14"/>
        </w:numPr>
        <w:tabs>
          <w:tab w:val="left" w:pos="926"/>
        </w:tabs>
      </w:pPr>
      <w:r w:rsidRPr="00577C30">
        <w:t>OHIO</w:t>
      </w:r>
      <w:r w:rsidRPr="00577C30">
        <w:rPr>
          <w:spacing w:val="-7"/>
        </w:rPr>
        <w:t xml:space="preserve"> </w:t>
      </w:r>
      <w:r w:rsidRPr="00577C30">
        <w:rPr>
          <w:spacing w:val="-2"/>
        </w:rPr>
        <w:t>Outcomes</w:t>
      </w:r>
    </w:p>
    <w:p w14:paraId="5956B4E4" w14:textId="77777777" w:rsidR="00EF0849" w:rsidRPr="00577C30" w:rsidRDefault="00EF0849" w:rsidP="00EF0849">
      <w:pPr>
        <w:pStyle w:val="BodyText"/>
        <w:ind w:left="0"/>
        <w:rPr>
          <w:sz w:val="22"/>
          <w:szCs w:val="22"/>
        </w:rPr>
      </w:pPr>
    </w:p>
    <w:p w14:paraId="6E66734E" w14:textId="77777777" w:rsidR="00EF0849" w:rsidRPr="00577C30" w:rsidRDefault="00EF0849" w:rsidP="00EF0849">
      <w:pPr>
        <w:pStyle w:val="BodyText"/>
        <w:ind w:left="0"/>
        <w:rPr>
          <w:sz w:val="22"/>
          <w:szCs w:val="22"/>
        </w:rPr>
      </w:pPr>
      <w:r w:rsidRPr="00577C30">
        <w:rPr>
          <w:sz w:val="22"/>
          <w:szCs w:val="22"/>
        </w:rPr>
        <w:t>For</w:t>
      </w:r>
      <w:r w:rsidRPr="00577C30">
        <w:rPr>
          <w:spacing w:val="-3"/>
          <w:sz w:val="22"/>
          <w:szCs w:val="22"/>
        </w:rPr>
        <w:t xml:space="preserve"> </w:t>
      </w:r>
      <w:r w:rsidRPr="00577C30">
        <w:rPr>
          <w:sz w:val="22"/>
          <w:szCs w:val="22"/>
        </w:rPr>
        <w:t>detailed</w:t>
      </w:r>
      <w:r w:rsidRPr="00577C30">
        <w:rPr>
          <w:spacing w:val="-4"/>
          <w:sz w:val="22"/>
          <w:szCs w:val="22"/>
        </w:rPr>
        <w:t xml:space="preserve"> </w:t>
      </w:r>
      <w:r w:rsidRPr="00577C30">
        <w:rPr>
          <w:sz w:val="22"/>
          <w:szCs w:val="22"/>
        </w:rPr>
        <w:t>information</w:t>
      </w:r>
      <w:r w:rsidRPr="00577C30">
        <w:rPr>
          <w:spacing w:val="-4"/>
          <w:sz w:val="22"/>
          <w:szCs w:val="22"/>
        </w:rPr>
        <w:t xml:space="preserve"> </w:t>
      </w:r>
      <w:r w:rsidRPr="00577C30">
        <w:rPr>
          <w:sz w:val="22"/>
          <w:szCs w:val="22"/>
        </w:rPr>
        <w:t>about</w:t>
      </w:r>
      <w:r w:rsidRPr="00577C30">
        <w:rPr>
          <w:spacing w:val="-3"/>
          <w:sz w:val="22"/>
          <w:szCs w:val="22"/>
        </w:rPr>
        <w:t xml:space="preserve"> </w:t>
      </w:r>
      <w:r w:rsidRPr="00577C30">
        <w:rPr>
          <w:sz w:val="22"/>
          <w:szCs w:val="22"/>
        </w:rPr>
        <w:t>the</w:t>
      </w:r>
      <w:r w:rsidRPr="00577C30">
        <w:rPr>
          <w:spacing w:val="-3"/>
          <w:sz w:val="22"/>
          <w:szCs w:val="22"/>
        </w:rPr>
        <w:t xml:space="preserve"> </w:t>
      </w:r>
      <w:r w:rsidRPr="00577C30">
        <w:rPr>
          <w:sz w:val="22"/>
          <w:szCs w:val="22"/>
        </w:rPr>
        <w:t>data</w:t>
      </w:r>
      <w:r w:rsidRPr="00577C30">
        <w:rPr>
          <w:spacing w:val="-3"/>
          <w:sz w:val="22"/>
          <w:szCs w:val="22"/>
        </w:rPr>
        <w:t xml:space="preserve"> </w:t>
      </w:r>
      <w:r w:rsidRPr="00577C30">
        <w:rPr>
          <w:sz w:val="22"/>
          <w:szCs w:val="22"/>
        </w:rPr>
        <w:t>support</w:t>
      </w:r>
      <w:r w:rsidRPr="00577C30">
        <w:rPr>
          <w:spacing w:val="-3"/>
          <w:sz w:val="22"/>
          <w:szCs w:val="22"/>
        </w:rPr>
        <w:t xml:space="preserve"> </w:t>
      </w:r>
      <w:r w:rsidRPr="00577C30">
        <w:rPr>
          <w:sz w:val="22"/>
          <w:szCs w:val="22"/>
        </w:rPr>
        <w:t>that</w:t>
      </w:r>
      <w:r w:rsidRPr="00577C30">
        <w:rPr>
          <w:spacing w:val="-3"/>
          <w:sz w:val="22"/>
          <w:szCs w:val="22"/>
        </w:rPr>
        <w:t xml:space="preserve"> </w:t>
      </w:r>
      <w:r w:rsidRPr="00577C30">
        <w:rPr>
          <w:sz w:val="22"/>
          <w:szCs w:val="22"/>
        </w:rPr>
        <w:t>IEA</w:t>
      </w:r>
      <w:r w:rsidRPr="00577C30">
        <w:rPr>
          <w:spacing w:val="-4"/>
          <w:sz w:val="22"/>
          <w:szCs w:val="22"/>
        </w:rPr>
        <w:t xml:space="preserve"> </w:t>
      </w:r>
      <w:r w:rsidRPr="00577C30">
        <w:rPr>
          <w:sz w:val="22"/>
          <w:szCs w:val="22"/>
        </w:rPr>
        <w:t>provides</w:t>
      </w:r>
      <w:r w:rsidRPr="00577C30">
        <w:rPr>
          <w:spacing w:val="-3"/>
          <w:sz w:val="22"/>
          <w:szCs w:val="22"/>
        </w:rPr>
        <w:t xml:space="preserve"> </w:t>
      </w:r>
      <w:r w:rsidRPr="00577C30">
        <w:rPr>
          <w:sz w:val="22"/>
          <w:szCs w:val="22"/>
        </w:rPr>
        <w:t>specifically</w:t>
      </w:r>
      <w:r w:rsidRPr="00577C30">
        <w:rPr>
          <w:spacing w:val="-5"/>
          <w:sz w:val="22"/>
          <w:szCs w:val="22"/>
        </w:rPr>
        <w:t xml:space="preserve"> </w:t>
      </w:r>
      <w:r w:rsidRPr="00577C30">
        <w:rPr>
          <w:sz w:val="22"/>
          <w:szCs w:val="22"/>
        </w:rPr>
        <w:t>for</w:t>
      </w:r>
      <w:r w:rsidRPr="00577C30">
        <w:rPr>
          <w:spacing w:val="-3"/>
          <w:sz w:val="22"/>
          <w:szCs w:val="22"/>
        </w:rPr>
        <w:t xml:space="preserve"> </w:t>
      </w:r>
      <w:r w:rsidRPr="00577C30">
        <w:rPr>
          <w:sz w:val="22"/>
          <w:szCs w:val="22"/>
        </w:rPr>
        <w:t>the</w:t>
      </w:r>
      <w:r w:rsidRPr="00577C30">
        <w:rPr>
          <w:spacing w:val="-4"/>
          <w:sz w:val="22"/>
          <w:szCs w:val="22"/>
        </w:rPr>
        <w:t xml:space="preserve"> </w:t>
      </w:r>
      <w:r w:rsidRPr="00577C30">
        <w:rPr>
          <w:sz w:val="22"/>
          <w:szCs w:val="22"/>
        </w:rPr>
        <w:t>Academic Program</w:t>
      </w:r>
      <w:r w:rsidRPr="00577C30">
        <w:rPr>
          <w:spacing w:val="-2"/>
          <w:sz w:val="22"/>
          <w:szCs w:val="22"/>
        </w:rPr>
        <w:t xml:space="preserve"> </w:t>
      </w:r>
      <w:r w:rsidRPr="00577C30">
        <w:rPr>
          <w:sz w:val="22"/>
          <w:szCs w:val="22"/>
        </w:rPr>
        <w:t>Review</w:t>
      </w:r>
      <w:r w:rsidRPr="00577C30">
        <w:rPr>
          <w:spacing w:val="-2"/>
          <w:sz w:val="22"/>
          <w:szCs w:val="22"/>
        </w:rPr>
        <w:t xml:space="preserve"> </w:t>
      </w:r>
      <w:r w:rsidRPr="00577C30">
        <w:rPr>
          <w:sz w:val="22"/>
          <w:szCs w:val="22"/>
        </w:rPr>
        <w:t>Self-Study</w:t>
      </w:r>
      <w:r w:rsidRPr="00577C30">
        <w:rPr>
          <w:spacing w:val="-2"/>
          <w:sz w:val="22"/>
          <w:szCs w:val="22"/>
        </w:rPr>
        <w:t xml:space="preserve"> </w:t>
      </w:r>
      <w:r w:rsidRPr="00577C30">
        <w:rPr>
          <w:sz w:val="22"/>
          <w:szCs w:val="22"/>
        </w:rPr>
        <w:t>process,</w:t>
      </w:r>
      <w:r w:rsidRPr="00577C30">
        <w:rPr>
          <w:spacing w:val="-4"/>
          <w:sz w:val="22"/>
          <w:szCs w:val="22"/>
        </w:rPr>
        <w:t xml:space="preserve"> </w:t>
      </w:r>
      <w:r w:rsidRPr="00577C30">
        <w:rPr>
          <w:sz w:val="22"/>
          <w:szCs w:val="22"/>
        </w:rPr>
        <w:t>please</w:t>
      </w:r>
      <w:r w:rsidRPr="00577C30">
        <w:rPr>
          <w:spacing w:val="-2"/>
          <w:sz w:val="22"/>
          <w:szCs w:val="22"/>
        </w:rPr>
        <w:t xml:space="preserve"> </w:t>
      </w:r>
      <w:r w:rsidRPr="00577C30">
        <w:rPr>
          <w:sz w:val="22"/>
          <w:szCs w:val="22"/>
        </w:rPr>
        <w:t>see</w:t>
      </w:r>
      <w:r w:rsidRPr="00577C30">
        <w:rPr>
          <w:spacing w:val="-2"/>
          <w:sz w:val="22"/>
          <w:szCs w:val="22"/>
        </w:rPr>
        <w:t xml:space="preserve"> </w:t>
      </w:r>
      <w:hyperlink r:id="rId8">
        <w:r w:rsidRPr="00577C30">
          <w:rPr>
            <w:color w:val="0462C1"/>
            <w:sz w:val="22"/>
            <w:szCs w:val="22"/>
            <w:u w:val="single" w:color="0462C1"/>
          </w:rPr>
          <w:t>IEA</w:t>
        </w:r>
        <w:r w:rsidRPr="00577C30">
          <w:rPr>
            <w:color w:val="0462C1"/>
            <w:spacing w:val="-2"/>
            <w:sz w:val="22"/>
            <w:szCs w:val="22"/>
            <w:u w:val="single" w:color="0462C1"/>
          </w:rPr>
          <w:t xml:space="preserve"> </w:t>
        </w:r>
        <w:r w:rsidRPr="00577C30">
          <w:rPr>
            <w:color w:val="0462C1"/>
            <w:sz w:val="22"/>
            <w:szCs w:val="22"/>
            <w:u w:val="single" w:color="0462C1"/>
          </w:rPr>
          <w:t>Support</w:t>
        </w:r>
        <w:r w:rsidRPr="00577C30">
          <w:rPr>
            <w:color w:val="0462C1"/>
            <w:spacing w:val="-2"/>
            <w:sz w:val="22"/>
            <w:szCs w:val="22"/>
            <w:u w:val="single" w:color="0462C1"/>
          </w:rPr>
          <w:t xml:space="preserve"> </w:t>
        </w:r>
        <w:r w:rsidRPr="00577C30">
          <w:rPr>
            <w:color w:val="0462C1"/>
            <w:sz w:val="22"/>
            <w:szCs w:val="22"/>
            <w:u w:val="single" w:color="0462C1"/>
          </w:rPr>
          <w:t>of</w:t>
        </w:r>
        <w:r w:rsidRPr="00577C30">
          <w:rPr>
            <w:color w:val="0462C1"/>
            <w:spacing w:val="-2"/>
            <w:sz w:val="22"/>
            <w:szCs w:val="22"/>
            <w:u w:val="single" w:color="0462C1"/>
          </w:rPr>
          <w:t xml:space="preserve"> </w:t>
        </w:r>
        <w:r w:rsidRPr="00577C30">
          <w:rPr>
            <w:color w:val="0462C1"/>
            <w:sz w:val="22"/>
            <w:szCs w:val="22"/>
            <w:u w:val="single" w:color="0462C1"/>
          </w:rPr>
          <w:t>the</w:t>
        </w:r>
        <w:r w:rsidRPr="00577C30">
          <w:rPr>
            <w:color w:val="0462C1"/>
            <w:spacing w:val="-2"/>
            <w:sz w:val="22"/>
            <w:szCs w:val="22"/>
            <w:u w:val="single" w:color="0462C1"/>
          </w:rPr>
          <w:t xml:space="preserve"> </w:t>
        </w:r>
        <w:r w:rsidRPr="00577C30">
          <w:rPr>
            <w:color w:val="0462C1"/>
            <w:sz w:val="22"/>
            <w:szCs w:val="22"/>
            <w:u w:val="single" w:color="0462C1"/>
          </w:rPr>
          <w:t>Academic</w:t>
        </w:r>
        <w:r w:rsidRPr="00577C30">
          <w:rPr>
            <w:color w:val="0462C1"/>
            <w:spacing w:val="-2"/>
            <w:sz w:val="22"/>
            <w:szCs w:val="22"/>
            <w:u w:val="single" w:color="0462C1"/>
          </w:rPr>
          <w:t xml:space="preserve"> </w:t>
        </w:r>
        <w:r w:rsidRPr="00577C30">
          <w:rPr>
            <w:color w:val="0462C1"/>
            <w:sz w:val="22"/>
            <w:szCs w:val="22"/>
            <w:u w:val="single" w:color="0462C1"/>
          </w:rPr>
          <w:t>Program</w:t>
        </w:r>
        <w:r w:rsidRPr="00577C30">
          <w:rPr>
            <w:color w:val="0462C1"/>
            <w:spacing w:val="-2"/>
            <w:sz w:val="22"/>
            <w:szCs w:val="22"/>
            <w:u w:val="single" w:color="0462C1"/>
          </w:rPr>
          <w:t xml:space="preserve"> </w:t>
        </w:r>
        <w:r w:rsidRPr="00577C30">
          <w:rPr>
            <w:color w:val="0462C1"/>
            <w:sz w:val="22"/>
            <w:szCs w:val="22"/>
            <w:u w:val="single" w:color="0462C1"/>
          </w:rPr>
          <w:t>Review</w:t>
        </w:r>
      </w:hyperlink>
      <w:r w:rsidRPr="00577C30">
        <w:rPr>
          <w:color w:val="0462C1"/>
          <w:sz w:val="22"/>
          <w:szCs w:val="22"/>
        </w:rPr>
        <w:t xml:space="preserve"> </w:t>
      </w:r>
      <w:hyperlink r:id="rId9">
        <w:r w:rsidRPr="00577C30">
          <w:rPr>
            <w:color w:val="0462C1"/>
            <w:spacing w:val="-2"/>
            <w:sz w:val="22"/>
            <w:szCs w:val="22"/>
            <w:u w:val="single" w:color="0462C1"/>
          </w:rPr>
          <w:t>Self-Study</w:t>
        </w:r>
      </w:hyperlink>
      <w:r w:rsidRPr="00577C30">
        <w:rPr>
          <w:spacing w:val="-2"/>
          <w:sz w:val="22"/>
          <w:szCs w:val="22"/>
        </w:rPr>
        <w:t>.</w:t>
      </w:r>
    </w:p>
    <w:p w14:paraId="6B62676D" w14:textId="77777777" w:rsidR="00EF0849" w:rsidRPr="00577C30" w:rsidRDefault="00EF0849" w:rsidP="00EF0849">
      <w:pPr>
        <w:pStyle w:val="BodyText"/>
        <w:ind w:left="0"/>
        <w:rPr>
          <w:sz w:val="22"/>
          <w:szCs w:val="22"/>
        </w:rPr>
      </w:pPr>
    </w:p>
    <w:p w14:paraId="3926B69C" w14:textId="77777777" w:rsidR="00EF0849" w:rsidRPr="00577C30" w:rsidRDefault="00EF0849" w:rsidP="00EF0849">
      <w:pPr>
        <w:pStyle w:val="Heading1"/>
        <w:ind w:left="0" w:firstLine="0"/>
        <w:rPr>
          <w:sz w:val="22"/>
          <w:szCs w:val="22"/>
        </w:rPr>
      </w:pPr>
      <w:r w:rsidRPr="00577C30">
        <w:rPr>
          <w:sz w:val="22"/>
          <w:szCs w:val="22"/>
        </w:rPr>
        <w:t>Staff</w:t>
      </w:r>
      <w:r w:rsidRPr="00577C30">
        <w:rPr>
          <w:spacing w:val="-5"/>
          <w:sz w:val="22"/>
          <w:szCs w:val="22"/>
        </w:rPr>
        <w:t xml:space="preserve"> </w:t>
      </w:r>
      <w:r w:rsidRPr="00577C30">
        <w:rPr>
          <w:spacing w:val="-2"/>
          <w:sz w:val="22"/>
          <w:szCs w:val="22"/>
        </w:rPr>
        <w:t>Support</w:t>
      </w:r>
    </w:p>
    <w:p w14:paraId="1D385BCF" w14:textId="77777777" w:rsidR="00EF0849" w:rsidRPr="00577C30" w:rsidRDefault="00EF0849" w:rsidP="00EF0849">
      <w:pPr>
        <w:pStyle w:val="BodyText"/>
        <w:ind w:left="0"/>
        <w:rPr>
          <w:sz w:val="22"/>
          <w:szCs w:val="22"/>
        </w:rPr>
      </w:pPr>
    </w:p>
    <w:p w14:paraId="1626E593" w14:textId="77777777" w:rsidR="00EF0849" w:rsidRPr="00577C30" w:rsidRDefault="00EF0849" w:rsidP="00EF0849">
      <w:pPr>
        <w:pStyle w:val="BodyText"/>
        <w:ind w:left="0"/>
        <w:rPr>
          <w:sz w:val="22"/>
          <w:szCs w:val="22"/>
        </w:rPr>
      </w:pPr>
      <w:r w:rsidRPr="00577C30">
        <w:rPr>
          <w:sz w:val="22"/>
          <w:szCs w:val="22"/>
        </w:rPr>
        <w:t>While our data sources are designed to be self-service, IEA also offers staff support for the Academic</w:t>
      </w:r>
      <w:r w:rsidRPr="00577C30">
        <w:rPr>
          <w:spacing w:val="-4"/>
          <w:sz w:val="22"/>
          <w:szCs w:val="22"/>
        </w:rPr>
        <w:t xml:space="preserve"> </w:t>
      </w:r>
      <w:r w:rsidRPr="00577C30">
        <w:rPr>
          <w:sz w:val="22"/>
          <w:szCs w:val="22"/>
        </w:rPr>
        <w:t>Program</w:t>
      </w:r>
      <w:r w:rsidRPr="00577C30">
        <w:rPr>
          <w:spacing w:val="-4"/>
          <w:sz w:val="22"/>
          <w:szCs w:val="22"/>
        </w:rPr>
        <w:t xml:space="preserve"> </w:t>
      </w:r>
      <w:r w:rsidRPr="00577C30">
        <w:rPr>
          <w:sz w:val="22"/>
          <w:szCs w:val="22"/>
        </w:rPr>
        <w:t>Review</w:t>
      </w:r>
      <w:r w:rsidRPr="00577C30">
        <w:rPr>
          <w:spacing w:val="-4"/>
          <w:sz w:val="22"/>
          <w:szCs w:val="22"/>
        </w:rPr>
        <w:t xml:space="preserve"> </w:t>
      </w:r>
      <w:r w:rsidRPr="00577C30">
        <w:rPr>
          <w:sz w:val="22"/>
          <w:szCs w:val="22"/>
        </w:rPr>
        <w:t>Self-Study</w:t>
      </w:r>
      <w:r w:rsidRPr="00577C30">
        <w:rPr>
          <w:spacing w:val="-3"/>
          <w:sz w:val="22"/>
          <w:szCs w:val="22"/>
        </w:rPr>
        <w:t xml:space="preserve"> </w:t>
      </w:r>
      <w:r w:rsidRPr="00577C30">
        <w:rPr>
          <w:sz w:val="22"/>
          <w:szCs w:val="22"/>
        </w:rPr>
        <w:t>process.</w:t>
      </w:r>
      <w:r w:rsidRPr="00577C30">
        <w:rPr>
          <w:spacing w:val="40"/>
          <w:sz w:val="22"/>
          <w:szCs w:val="22"/>
        </w:rPr>
        <w:t xml:space="preserve"> </w:t>
      </w:r>
      <w:r w:rsidRPr="00577C30">
        <w:rPr>
          <w:sz w:val="22"/>
          <w:szCs w:val="22"/>
        </w:rPr>
        <w:t>Whether</w:t>
      </w:r>
      <w:r w:rsidRPr="00577C30">
        <w:rPr>
          <w:spacing w:val="-3"/>
          <w:sz w:val="22"/>
          <w:szCs w:val="22"/>
        </w:rPr>
        <w:t xml:space="preserve"> </w:t>
      </w:r>
      <w:r w:rsidRPr="00577C30">
        <w:rPr>
          <w:sz w:val="22"/>
          <w:szCs w:val="22"/>
        </w:rPr>
        <w:t>you</w:t>
      </w:r>
      <w:r w:rsidRPr="00577C30">
        <w:rPr>
          <w:spacing w:val="-3"/>
          <w:sz w:val="22"/>
          <w:szCs w:val="22"/>
        </w:rPr>
        <w:t xml:space="preserve"> </w:t>
      </w:r>
      <w:r w:rsidRPr="00577C30">
        <w:rPr>
          <w:sz w:val="22"/>
          <w:szCs w:val="22"/>
        </w:rPr>
        <w:t>have</w:t>
      </w:r>
      <w:r w:rsidRPr="00577C30">
        <w:rPr>
          <w:spacing w:val="-3"/>
          <w:sz w:val="22"/>
          <w:szCs w:val="22"/>
        </w:rPr>
        <w:t xml:space="preserve"> </w:t>
      </w:r>
      <w:r w:rsidRPr="00577C30">
        <w:rPr>
          <w:sz w:val="22"/>
          <w:szCs w:val="22"/>
        </w:rPr>
        <w:t>questions</w:t>
      </w:r>
      <w:r w:rsidRPr="00577C30">
        <w:rPr>
          <w:spacing w:val="-3"/>
          <w:sz w:val="22"/>
          <w:szCs w:val="22"/>
        </w:rPr>
        <w:t xml:space="preserve"> </w:t>
      </w:r>
      <w:r w:rsidRPr="00577C30">
        <w:rPr>
          <w:sz w:val="22"/>
          <w:szCs w:val="22"/>
        </w:rPr>
        <w:t>about</w:t>
      </w:r>
      <w:r w:rsidRPr="00577C30">
        <w:rPr>
          <w:spacing w:val="-4"/>
          <w:sz w:val="22"/>
          <w:szCs w:val="22"/>
        </w:rPr>
        <w:t xml:space="preserve"> </w:t>
      </w:r>
      <w:r w:rsidRPr="00577C30">
        <w:rPr>
          <w:sz w:val="22"/>
          <w:szCs w:val="22"/>
        </w:rPr>
        <w:t>any</w:t>
      </w:r>
      <w:r w:rsidRPr="00577C30">
        <w:rPr>
          <w:spacing w:val="-3"/>
          <w:sz w:val="22"/>
          <w:szCs w:val="22"/>
        </w:rPr>
        <w:t xml:space="preserve"> </w:t>
      </w:r>
      <w:r w:rsidRPr="00577C30">
        <w:rPr>
          <w:sz w:val="22"/>
          <w:szCs w:val="22"/>
        </w:rPr>
        <w:t>of</w:t>
      </w:r>
      <w:r w:rsidRPr="00577C30">
        <w:rPr>
          <w:spacing w:val="-3"/>
          <w:sz w:val="22"/>
          <w:szCs w:val="22"/>
        </w:rPr>
        <w:t xml:space="preserve"> </w:t>
      </w:r>
      <w:r w:rsidRPr="00577C30">
        <w:rPr>
          <w:sz w:val="22"/>
          <w:szCs w:val="22"/>
        </w:rPr>
        <w:t xml:space="preserve">our data sources or need assistance using one of the IEA OBIEE reports, please reach out to Joni Wadley, Senior Director for Institutional Effectiveness by email or Microsoft Teams at </w:t>
      </w:r>
      <w:hyperlink r:id="rId10">
        <w:r w:rsidRPr="00577C30">
          <w:rPr>
            <w:color w:val="0462C1"/>
            <w:sz w:val="22"/>
            <w:szCs w:val="22"/>
            <w:u w:val="single" w:color="0462C1"/>
          </w:rPr>
          <w:t>schallej@ohio.edu</w:t>
        </w:r>
      </w:hyperlink>
      <w:r w:rsidRPr="00577C30">
        <w:rPr>
          <w:color w:val="0462C1"/>
          <w:sz w:val="22"/>
          <w:szCs w:val="22"/>
        </w:rPr>
        <w:t xml:space="preserve"> </w:t>
      </w:r>
      <w:r w:rsidRPr="00577C30">
        <w:rPr>
          <w:sz w:val="22"/>
          <w:szCs w:val="22"/>
        </w:rPr>
        <w:t>or by phone at (740) 593-1054.</w:t>
      </w:r>
    </w:p>
    <w:p w14:paraId="6D41F5EB" w14:textId="77777777" w:rsidR="00EF0849" w:rsidRPr="00577C30" w:rsidRDefault="00EF0849" w:rsidP="00EF0849">
      <w:pPr>
        <w:pStyle w:val="BodyText"/>
        <w:ind w:left="0"/>
        <w:rPr>
          <w:sz w:val="22"/>
          <w:szCs w:val="22"/>
        </w:rPr>
      </w:pPr>
    </w:p>
    <w:p w14:paraId="16841715" w14:textId="77777777" w:rsidR="00EF0849" w:rsidRPr="00577C30" w:rsidRDefault="00EF0849" w:rsidP="00EF0849">
      <w:pPr>
        <w:pStyle w:val="Heading1"/>
        <w:ind w:left="0" w:firstLine="0"/>
        <w:rPr>
          <w:sz w:val="22"/>
          <w:szCs w:val="22"/>
        </w:rPr>
      </w:pPr>
      <w:r w:rsidRPr="00577C30">
        <w:rPr>
          <w:sz w:val="22"/>
          <w:szCs w:val="22"/>
        </w:rPr>
        <w:t>IEA</w:t>
      </w:r>
      <w:r w:rsidRPr="00577C30">
        <w:rPr>
          <w:spacing w:val="-6"/>
          <w:sz w:val="22"/>
          <w:szCs w:val="22"/>
        </w:rPr>
        <w:t xml:space="preserve"> </w:t>
      </w:r>
      <w:r w:rsidRPr="00577C30">
        <w:rPr>
          <w:sz w:val="22"/>
          <w:szCs w:val="22"/>
        </w:rPr>
        <w:t>Data</w:t>
      </w:r>
      <w:r w:rsidRPr="00577C30">
        <w:rPr>
          <w:spacing w:val="-6"/>
          <w:sz w:val="22"/>
          <w:szCs w:val="22"/>
        </w:rPr>
        <w:t xml:space="preserve"> </w:t>
      </w:r>
      <w:r w:rsidRPr="00577C30">
        <w:rPr>
          <w:spacing w:val="-2"/>
          <w:sz w:val="22"/>
          <w:szCs w:val="22"/>
        </w:rPr>
        <w:t>Orientation</w:t>
      </w:r>
    </w:p>
    <w:p w14:paraId="64764AE2" w14:textId="77777777" w:rsidR="00EF0849" w:rsidRPr="00577C30" w:rsidRDefault="00EF0849" w:rsidP="00EF0849">
      <w:pPr>
        <w:pStyle w:val="BodyText"/>
        <w:ind w:left="0"/>
        <w:rPr>
          <w:sz w:val="22"/>
          <w:szCs w:val="22"/>
        </w:rPr>
      </w:pPr>
    </w:p>
    <w:p w14:paraId="5615AD82" w14:textId="29239A2B" w:rsidR="00046654" w:rsidRPr="00577C30" w:rsidRDefault="00EF0849" w:rsidP="00EF0849">
      <w:pPr>
        <w:pStyle w:val="BodyText"/>
        <w:ind w:left="0"/>
        <w:rPr>
          <w:sz w:val="22"/>
          <w:szCs w:val="22"/>
        </w:rPr>
      </w:pPr>
      <w:r w:rsidRPr="00577C30">
        <w:rPr>
          <w:sz w:val="22"/>
          <w:szCs w:val="22"/>
        </w:rPr>
        <w:t>In addition, IEA offers one-on-one data orientation sessions specific to the Academic Program Review</w:t>
      </w:r>
      <w:r w:rsidRPr="00577C30">
        <w:rPr>
          <w:spacing w:val="-4"/>
          <w:sz w:val="22"/>
          <w:szCs w:val="22"/>
        </w:rPr>
        <w:t xml:space="preserve"> </w:t>
      </w:r>
      <w:r w:rsidRPr="00577C30">
        <w:rPr>
          <w:sz w:val="22"/>
          <w:szCs w:val="22"/>
        </w:rPr>
        <w:t>Self-Study</w:t>
      </w:r>
      <w:r w:rsidRPr="00577C30">
        <w:rPr>
          <w:spacing w:val="-4"/>
          <w:sz w:val="22"/>
          <w:szCs w:val="22"/>
        </w:rPr>
        <w:t xml:space="preserve"> </w:t>
      </w:r>
      <w:r w:rsidRPr="00577C30">
        <w:rPr>
          <w:sz w:val="22"/>
          <w:szCs w:val="22"/>
        </w:rPr>
        <w:t>process</w:t>
      </w:r>
      <w:r w:rsidRPr="00577C30">
        <w:rPr>
          <w:spacing w:val="-3"/>
          <w:sz w:val="22"/>
          <w:szCs w:val="22"/>
        </w:rPr>
        <w:t xml:space="preserve"> </w:t>
      </w:r>
      <w:r w:rsidRPr="00577C30">
        <w:rPr>
          <w:sz w:val="22"/>
          <w:szCs w:val="22"/>
        </w:rPr>
        <w:t>to</w:t>
      </w:r>
      <w:r w:rsidRPr="00577C30">
        <w:rPr>
          <w:spacing w:val="-3"/>
          <w:sz w:val="22"/>
          <w:szCs w:val="22"/>
        </w:rPr>
        <w:t xml:space="preserve"> </w:t>
      </w:r>
      <w:r w:rsidRPr="00577C30">
        <w:rPr>
          <w:sz w:val="22"/>
          <w:szCs w:val="22"/>
        </w:rPr>
        <w:t>help</w:t>
      </w:r>
      <w:r w:rsidRPr="00577C30">
        <w:rPr>
          <w:spacing w:val="-3"/>
          <w:sz w:val="22"/>
          <w:szCs w:val="22"/>
        </w:rPr>
        <w:t xml:space="preserve"> </w:t>
      </w:r>
      <w:r w:rsidRPr="00577C30">
        <w:rPr>
          <w:sz w:val="22"/>
          <w:szCs w:val="22"/>
        </w:rPr>
        <w:t>one</w:t>
      </w:r>
      <w:r w:rsidRPr="00577C30">
        <w:rPr>
          <w:spacing w:val="-3"/>
          <w:sz w:val="22"/>
          <w:szCs w:val="22"/>
        </w:rPr>
        <w:t xml:space="preserve"> </w:t>
      </w:r>
      <w:r w:rsidRPr="00577C30">
        <w:rPr>
          <w:sz w:val="22"/>
          <w:szCs w:val="22"/>
        </w:rPr>
        <w:t>person</w:t>
      </w:r>
      <w:r w:rsidRPr="00577C30">
        <w:rPr>
          <w:spacing w:val="-3"/>
          <w:sz w:val="22"/>
          <w:szCs w:val="22"/>
        </w:rPr>
        <w:t xml:space="preserve"> </w:t>
      </w:r>
      <w:r w:rsidRPr="00577C30">
        <w:rPr>
          <w:sz w:val="22"/>
          <w:szCs w:val="22"/>
        </w:rPr>
        <w:t>from</w:t>
      </w:r>
      <w:r w:rsidRPr="00577C30">
        <w:rPr>
          <w:spacing w:val="-3"/>
          <w:sz w:val="22"/>
          <w:szCs w:val="22"/>
        </w:rPr>
        <w:t xml:space="preserve"> </w:t>
      </w:r>
      <w:r w:rsidRPr="00577C30">
        <w:rPr>
          <w:sz w:val="22"/>
          <w:szCs w:val="22"/>
        </w:rPr>
        <w:t>each</w:t>
      </w:r>
      <w:r w:rsidRPr="00577C30">
        <w:rPr>
          <w:spacing w:val="-3"/>
          <w:sz w:val="22"/>
          <w:szCs w:val="22"/>
        </w:rPr>
        <w:t xml:space="preserve"> </w:t>
      </w:r>
      <w:r w:rsidRPr="00577C30">
        <w:rPr>
          <w:sz w:val="22"/>
          <w:szCs w:val="22"/>
        </w:rPr>
        <w:t>program</w:t>
      </w:r>
      <w:r w:rsidRPr="00577C30">
        <w:rPr>
          <w:spacing w:val="-1"/>
          <w:sz w:val="22"/>
          <w:szCs w:val="22"/>
        </w:rPr>
        <w:t xml:space="preserve"> </w:t>
      </w:r>
      <w:r w:rsidRPr="00577C30">
        <w:rPr>
          <w:sz w:val="22"/>
          <w:szCs w:val="22"/>
        </w:rPr>
        <w:t>become</w:t>
      </w:r>
      <w:r w:rsidRPr="00577C30">
        <w:rPr>
          <w:spacing w:val="-3"/>
          <w:sz w:val="22"/>
          <w:szCs w:val="22"/>
        </w:rPr>
        <w:t xml:space="preserve"> </w:t>
      </w:r>
      <w:r w:rsidRPr="00577C30">
        <w:rPr>
          <w:sz w:val="22"/>
          <w:szCs w:val="22"/>
        </w:rPr>
        <w:t>familiar</w:t>
      </w:r>
      <w:r w:rsidRPr="00577C30">
        <w:rPr>
          <w:spacing w:val="-3"/>
          <w:sz w:val="22"/>
          <w:szCs w:val="22"/>
        </w:rPr>
        <w:t xml:space="preserve"> </w:t>
      </w:r>
      <w:r w:rsidRPr="00577C30">
        <w:rPr>
          <w:sz w:val="22"/>
          <w:szCs w:val="22"/>
        </w:rPr>
        <w:t>with</w:t>
      </w:r>
      <w:r w:rsidRPr="00577C30">
        <w:rPr>
          <w:spacing w:val="-3"/>
          <w:sz w:val="22"/>
          <w:szCs w:val="22"/>
        </w:rPr>
        <w:t xml:space="preserve"> </w:t>
      </w:r>
      <w:r w:rsidRPr="00577C30">
        <w:rPr>
          <w:sz w:val="22"/>
          <w:szCs w:val="22"/>
        </w:rPr>
        <w:t>our</w:t>
      </w:r>
      <w:r w:rsidRPr="00577C30">
        <w:rPr>
          <w:spacing w:val="-3"/>
          <w:sz w:val="22"/>
          <w:szCs w:val="22"/>
        </w:rPr>
        <w:t xml:space="preserve"> </w:t>
      </w:r>
      <w:r w:rsidRPr="00577C30">
        <w:rPr>
          <w:sz w:val="22"/>
          <w:szCs w:val="22"/>
        </w:rPr>
        <w:t>data sources, learn how and where to access them, and manipulate data within OBIEE.</w:t>
      </w:r>
      <w:r w:rsidRPr="00577C30">
        <w:rPr>
          <w:spacing w:val="40"/>
          <w:sz w:val="22"/>
          <w:szCs w:val="22"/>
        </w:rPr>
        <w:t xml:space="preserve"> </w:t>
      </w:r>
      <w:r w:rsidRPr="00577C30">
        <w:rPr>
          <w:sz w:val="22"/>
          <w:szCs w:val="22"/>
        </w:rPr>
        <w:t xml:space="preserve">These sessions can be scheduled anytime from April to September prior to the self-study deadline, but to ensure enough time for all programs to have the opportunity to participate, we need the programs to identify one person to Joni Wadley by </w:t>
      </w:r>
      <w:r w:rsidRPr="00577C30">
        <w:rPr>
          <w:b/>
          <w:sz w:val="22"/>
          <w:szCs w:val="22"/>
        </w:rPr>
        <w:t>April 15</w:t>
      </w:r>
      <w:r w:rsidRPr="00577C30">
        <w:rPr>
          <w:sz w:val="22"/>
          <w:szCs w:val="22"/>
        </w:rPr>
        <w:t>.</w:t>
      </w:r>
      <w:r w:rsidRPr="00577C30">
        <w:rPr>
          <w:spacing w:val="40"/>
          <w:sz w:val="22"/>
          <w:szCs w:val="22"/>
        </w:rPr>
        <w:t xml:space="preserve"> </w:t>
      </w:r>
      <w:r w:rsidRPr="00577C30">
        <w:rPr>
          <w:sz w:val="22"/>
          <w:szCs w:val="22"/>
        </w:rPr>
        <w:t>Once this person is identified, Joni will work with that person to schedule their session at their convenience.</w:t>
      </w:r>
    </w:p>
    <w:sectPr w:rsidR="00046654" w:rsidRPr="00577C30" w:rsidSect="00102A66">
      <w:footerReference w:type="default" r:id="rId11"/>
      <w:pgSz w:w="12240" w:h="15840"/>
      <w:pgMar w:top="1440" w:right="1440" w:bottom="1440" w:left="1440" w:header="0" w:footer="9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6377" w14:textId="77777777" w:rsidR="00B37805" w:rsidRDefault="00B37805">
      <w:r>
        <w:separator/>
      </w:r>
    </w:p>
  </w:endnote>
  <w:endnote w:type="continuationSeparator" w:id="0">
    <w:p w14:paraId="53F9CF1B" w14:textId="77777777" w:rsidR="00B37805" w:rsidRDefault="00B3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37949"/>
      <w:docPartObj>
        <w:docPartGallery w:val="Page Numbers (Bottom of Page)"/>
        <w:docPartUnique/>
      </w:docPartObj>
    </w:sdtPr>
    <w:sdtEndPr>
      <w:rPr>
        <w:sz w:val="20"/>
        <w:szCs w:val="20"/>
      </w:rPr>
    </w:sdtEndPr>
    <w:sdtContent>
      <w:p w14:paraId="7E39F2AA" w14:textId="764EE50A" w:rsidR="00B00D48" w:rsidRPr="00102A66" w:rsidRDefault="00B00D48">
        <w:pPr>
          <w:pStyle w:val="Footer"/>
          <w:jc w:val="right"/>
          <w:rPr>
            <w:sz w:val="20"/>
            <w:szCs w:val="20"/>
          </w:rPr>
        </w:pPr>
        <w:r w:rsidRPr="00102A66">
          <w:rPr>
            <w:sz w:val="20"/>
            <w:szCs w:val="20"/>
          </w:rPr>
          <w:fldChar w:fldCharType="begin"/>
        </w:r>
        <w:r w:rsidRPr="00102A66">
          <w:rPr>
            <w:sz w:val="20"/>
            <w:szCs w:val="20"/>
          </w:rPr>
          <w:instrText>PAGE   \* MERGEFORMAT</w:instrText>
        </w:r>
        <w:r w:rsidRPr="00102A66">
          <w:rPr>
            <w:sz w:val="20"/>
            <w:szCs w:val="20"/>
          </w:rPr>
          <w:fldChar w:fldCharType="separate"/>
        </w:r>
        <w:r w:rsidRPr="00102A66">
          <w:rPr>
            <w:sz w:val="20"/>
            <w:szCs w:val="20"/>
            <w:lang w:val="de-DE"/>
          </w:rPr>
          <w:t>2</w:t>
        </w:r>
        <w:r w:rsidRPr="00102A66">
          <w:rPr>
            <w:sz w:val="20"/>
            <w:szCs w:val="20"/>
          </w:rPr>
          <w:fldChar w:fldCharType="end"/>
        </w:r>
      </w:p>
    </w:sdtContent>
  </w:sdt>
  <w:p w14:paraId="291E1CDA" w14:textId="0719A775" w:rsidR="00046654" w:rsidRDefault="00046654">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D829" w14:textId="77777777" w:rsidR="00B37805" w:rsidRDefault="00B37805">
      <w:r>
        <w:separator/>
      </w:r>
    </w:p>
  </w:footnote>
  <w:footnote w:type="continuationSeparator" w:id="0">
    <w:p w14:paraId="13CE8B0C" w14:textId="77777777" w:rsidR="00B37805" w:rsidRDefault="00B37805">
      <w:r>
        <w:continuationSeparator/>
      </w:r>
    </w:p>
  </w:footnote>
  <w:footnote w:id="1">
    <w:p w14:paraId="45C3E102" w14:textId="77777777" w:rsidR="005771BE" w:rsidRPr="00956EB5" w:rsidRDefault="005771BE" w:rsidP="005771BE">
      <w:pPr>
        <w:rPr>
          <w:sz w:val="20"/>
          <w:szCs w:val="20"/>
        </w:rPr>
      </w:pPr>
      <w:r w:rsidRPr="00956EB5">
        <w:rPr>
          <w:rStyle w:val="FootnoteReference"/>
          <w:sz w:val="20"/>
          <w:szCs w:val="20"/>
        </w:rPr>
        <w:footnoteRef/>
      </w:r>
      <w:r w:rsidRPr="00956EB5">
        <w:rPr>
          <w:sz w:val="20"/>
          <w:szCs w:val="20"/>
        </w:rPr>
        <w:t xml:space="preserve"> Examples of high-impact teaching and learning practices include first-year experiences, capstone courses/projects, collaborative assignments/projects, diversity/global learning, service/community-based learning, research, and writing-intensive courses</w:t>
      </w:r>
      <w:r w:rsidRPr="00956EB5">
        <w:rPr>
          <w:rStyle w:val="cf01"/>
          <w:rFonts w:ascii="Times New Roman" w:hAnsi="Times New Roman" w:cs="Times New Roman"/>
          <w:sz w:val="20"/>
          <w:szCs w:val="20"/>
        </w:rPr>
        <w:t>.</w:t>
      </w:r>
    </w:p>
  </w:footnote>
  <w:footnote w:id="2">
    <w:p w14:paraId="56F8B498" w14:textId="2A061C2F" w:rsidR="00727007" w:rsidRDefault="00727007" w:rsidP="004D7491">
      <w:pPr>
        <w:pStyle w:val="FootnoteText"/>
      </w:pPr>
      <w:r>
        <w:rPr>
          <w:rStyle w:val="FootnoteReference"/>
        </w:rPr>
        <w:footnoteRef/>
      </w:r>
      <w:r>
        <w:t xml:space="preserve"> </w:t>
      </w:r>
      <w:r w:rsidRPr="00727007">
        <w:t xml:space="preserve">Ohio University Policy 18.001 Faculty Credentials and Tested Experience requires minimum qualifications of all faculty/instructional staff teaching courses or developing courses for college credit at OHIO based on Higher Learning Commission’s (HLC) Determining Qualified Faculty Guidelines on Faculty Qualifications. As pertains to the HLC Assumed Practices B.2 Faculty Roles and Qualifications, qualified faculty members are identified by </w:t>
      </w:r>
      <w:r>
        <w:t xml:space="preserve">academic </w:t>
      </w:r>
      <w:r w:rsidRPr="00727007">
        <w:t>credentials or equivalent/tested experience.</w:t>
      </w:r>
    </w:p>
  </w:footnote>
  <w:footnote w:id="3">
    <w:p w14:paraId="2ABF417B" w14:textId="77777777" w:rsidR="005771BE" w:rsidRDefault="005771BE" w:rsidP="005771BE">
      <w:pPr>
        <w:pStyle w:val="FootnoteText"/>
      </w:pPr>
      <w:r>
        <w:rPr>
          <w:rStyle w:val="FootnoteReference"/>
        </w:rPr>
        <w:footnoteRef/>
      </w:r>
      <w:r>
        <w:t xml:space="preserve"> If admissions requirements are the same as university requirements, simply state, “Admissions requirements are the same as university requirements.”</w:t>
      </w:r>
    </w:p>
  </w:footnote>
  <w:footnote w:id="4">
    <w:p w14:paraId="4359E1F7" w14:textId="77777777" w:rsidR="005771BE" w:rsidRDefault="005771BE" w:rsidP="005771BE">
      <w:pPr>
        <w:pStyle w:val="FootnoteText"/>
      </w:pPr>
      <w:r>
        <w:rPr>
          <w:rStyle w:val="FootnoteReference"/>
        </w:rPr>
        <w:footnoteRef/>
      </w:r>
      <w:r>
        <w:t xml:space="preserve"> </w:t>
      </w:r>
      <w:r w:rsidRPr="00CC747D">
        <w:t>OHIO undergraduate admissions recognize and accept several kinds of transferable credit, including college level courses taken at a regionally accredited institution; exams such as AP, IB, CLEP, A-Level, PLTW, and ECE; completing specified high school technical programs; courses taken while enlisted in the armed force; credit based on prior life experiences. In certain instances, OT36 approved courses may transfer as category-to-category rather than course-to-course.</w:t>
      </w:r>
      <w:r>
        <w:t xml:space="preserve"> If transfer policies are the same as university policies, simply state, “Transfer policies are the same as university policies.”</w:t>
      </w:r>
    </w:p>
  </w:footnote>
  <w:footnote w:id="5">
    <w:p w14:paraId="6C1A6831" w14:textId="77777777" w:rsidR="005771BE" w:rsidRDefault="005771BE" w:rsidP="005771BE">
      <w:pPr>
        <w:pStyle w:val="FootnoteText"/>
      </w:pPr>
      <w:r>
        <w:rPr>
          <w:rStyle w:val="FootnoteReference"/>
        </w:rPr>
        <w:footnoteRef/>
      </w:r>
      <w:r>
        <w:t xml:space="preserve"> </w:t>
      </w:r>
      <w:r w:rsidRPr="00CC747D">
        <w:t>Ohio University provides student administrative services centrally through several offices, including (but not limited to) the Ohio University’s Office of Admissions, Office of the Registrar, Office of Office of Student Financial Aid and Scholarships, and Office of the Bursar.</w:t>
      </w:r>
      <w:r>
        <w:t xml:space="preserve"> If administrative services are the same as the university services, simply state, “Administrative student services are the same as the university services.”</w:t>
      </w:r>
    </w:p>
  </w:footnote>
  <w:footnote w:id="6">
    <w:p w14:paraId="1A186B39" w14:textId="77777777" w:rsidR="005771BE" w:rsidRDefault="005771BE" w:rsidP="005771BE">
      <w:pPr>
        <w:pStyle w:val="FootnoteText"/>
      </w:pPr>
      <w:r>
        <w:rPr>
          <w:rStyle w:val="FootnoteReference"/>
        </w:rPr>
        <w:footnoteRef/>
      </w:r>
      <w:r>
        <w:t xml:space="preserve"> </w:t>
      </w:r>
      <w:r w:rsidRPr="00CC747D">
        <w:t>Ohio University provides student academic services centrally through several offices, including (but not limited to) the Ohio University’s Allen Advising, Academic Achievement Center, Center for Advising, Career, and Experiential Learning (ACEL), Office of First-Year and Student Transitions, Center for Campus and Community Engagement, Office of Accessibility Services, and the Office of International Office of International Student and Scholar Services.</w:t>
      </w:r>
      <w:r>
        <w:t xml:space="preserve"> If student academic services are the same as the university services, simply state, “Academic student services are the same as the university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A90"/>
    <w:multiLevelType w:val="hybridMultilevel"/>
    <w:tmpl w:val="5568C6E4"/>
    <w:lvl w:ilvl="0" w:tplc="FFFFFFFF">
      <w:start w:val="1"/>
      <w:numFmt w:val="upperLetter"/>
      <w:lvlText w:val="%1."/>
      <w:lvlJc w:val="left"/>
      <w:pPr>
        <w:ind w:left="360" w:hanging="360"/>
      </w:pPr>
    </w:lvl>
    <w:lvl w:ilvl="1" w:tplc="04090015">
      <w:start w:val="1"/>
      <w:numFmt w:val="upp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EB74E4"/>
    <w:multiLevelType w:val="hybridMultilevel"/>
    <w:tmpl w:val="3C8C5B80"/>
    <w:lvl w:ilvl="0" w:tplc="04090015">
      <w:start w:val="1"/>
      <w:numFmt w:val="upperLetter"/>
      <w:lvlText w:val="%1."/>
      <w:lvlJc w:val="lef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321F1E"/>
    <w:multiLevelType w:val="hybridMultilevel"/>
    <w:tmpl w:val="E7A6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F313A"/>
    <w:multiLevelType w:val="hybridMultilevel"/>
    <w:tmpl w:val="6158C666"/>
    <w:lvl w:ilvl="0" w:tplc="E4CCE6AA">
      <w:start w:val="1"/>
      <w:numFmt w:val="lowerRoman"/>
      <w:lvlText w:val="%1."/>
      <w:lvlJc w:val="left"/>
      <w:pPr>
        <w:ind w:left="1080" w:hanging="360"/>
      </w:pPr>
      <w:rPr>
        <w:rFonts w:ascii="Times New Roman" w:eastAsia="Times New Roman" w:hAnsi="Times New Roman" w:cs="Times New Roman" w:hint="default"/>
        <w:b w:val="0"/>
        <w:bCs w:val="0"/>
        <w:i w:val="0"/>
        <w:iCs w:val="0"/>
        <w:strike w:val="0"/>
        <w:w w:val="100"/>
        <w:sz w:val="24"/>
        <w:szCs w:val="24"/>
        <w:lang w:val="en-US" w:eastAsia="en-US" w:bidi="ar-SA"/>
      </w:rPr>
    </w:lvl>
    <w:lvl w:ilvl="1" w:tplc="04070019" w:tentative="1">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3977EE0"/>
    <w:multiLevelType w:val="hybridMultilevel"/>
    <w:tmpl w:val="74A677DC"/>
    <w:lvl w:ilvl="0" w:tplc="FFFFFFFF">
      <w:start w:val="1"/>
      <w:numFmt w:val="upperRoman"/>
      <w:lvlText w:val="%1."/>
      <w:lvlJc w:val="right"/>
      <w:pPr>
        <w:ind w:left="36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A4962FE"/>
    <w:multiLevelType w:val="hybridMultilevel"/>
    <w:tmpl w:val="12A6E8E8"/>
    <w:lvl w:ilvl="0" w:tplc="41BC39BC">
      <w:start w:val="4"/>
      <w:numFmt w:val="lowerLetter"/>
      <w:lvlText w:val="%1."/>
      <w:lvlJc w:val="left"/>
      <w:pPr>
        <w:ind w:left="360" w:hanging="360"/>
      </w:pPr>
      <w:rPr>
        <w:rFonts w:ascii="Times New Roman" w:eastAsia="Times New Roman" w:hAnsi="Times New Roman" w:cs="Times New Roman" w:hint="default"/>
        <w:b w:val="0"/>
        <w:bCs w:val="0"/>
        <w:i w:val="0"/>
        <w:iCs w:val="0"/>
        <w:w w:val="100"/>
        <w:sz w:val="24"/>
        <w:szCs w:val="24"/>
      </w:rPr>
    </w:lvl>
    <w:lvl w:ilvl="1" w:tplc="04070019" w:tentative="1">
      <w:start w:val="1"/>
      <w:numFmt w:val="lowerLetter"/>
      <w:lvlText w:val="%2."/>
      <w:lvlJc w:val="left"/>
      <w:pPr>
        <w:ind w:left="620" w:hanging="360"/>
      </w:pPr>
    </w:lvl>
    <w:lvl w:ilvl="2" w:tplc="0407001B" w:tentative="1">
      <w:start w:val="1"/>
      <w:numFmt w:val="lowerRoman"/>
      <w:lvlText w:val="%3."/>
      <w:lvlJc w:val="right"/>
      <w:pPr>
        <w:ind w:left="1340" w:hanging="180"/>
      </w:pPr>
    </w:lvl>
    <w:lvl w:ilvl="3" w:tplc="0407000F" w:tentative="1">
      <w:start w:val="1"/>
      <w:numFmt w:val="decimal"/>
      <w:lvlText w:val="%4."/>
      <w:lvlJc w:val="left"/>
      <w:pPr>
        <w:ind w:left="2060" w:hanging="360"/>
      </w:pPr>
    </w:lvl>
    <w:lvl w:ilvl="4" w:tplc="04070019" w:tentative="1">
      <w:start w:val="1"/>
      <w:numFmt w:val="lowerLetter"/>
      <w:lvlText w:val="%5."/>
      <w:lvlJc w:val="left"/>
      <w:pPr>
        <w:ind w:left="2780" w:hanging="360"/>
      </w:pPr>
    </w:lvl>
    <w:lvl w:ilvl="5" w:tplc="0407001B" w:tentative="1">
      <w:start w:val="1"/>
      <w:numFmt w:val="lowerRoman"/>
      <w:lvlText w:val="%6."/>
      <w:lvlJc w:val="right"/>
      <w:pPr>
        <w:ind w:left="3500" w:hanging="180"/>
      </w:pPr>
    </w:lvl>
    <w:lvl w:ilvl="6" w:tplc="0407000F" w:tentative="1">
      <w:start w:val="1"/>
      <w:numFmt w:val="decimal"/>
      <w:lvlText w:val="%7."/>
      <w:lvlJc w:val="left"/>
      <w:pPr>
        <w:ind w:left="4220" w:hanging="360"/>
      </w:pPr>
    </w:lvl>
    <w:lvl w:ilvl="7" w:tplc="04070019" w:tentative="1">
      <w:start w:val="1"/>
      <w:numFmt w:val="lowerLetter"/>
      <w:lvlText w:val="%8."/>
      <w:lvlJc w:val="left"/>
      <w:pPr>
        <w:ind w:left="4940" w:hanging="360"/>
      </w:pPr>
    </w:lvl>
    <w:lvl w:ilvl="8" w:tplc="0407001B" w:tentative="1">
      <w:start w:val="1"/>
      <w:numFmt w:val="lowerRoman"/>
      <w:lvlText w:val="%9."/>
      <w:lvlJc w:val="right"/>
      <w:pPr>
        <w:ind w:left="5660" w:hanging="180"/>
      </w:pPr>
    </w:lvl>
  </w:abstractNum>
  <w:abstractNum w:abstractNumId="6" w15:restartNumberingAfterBreak="0">
    <w:nsid w:val="2A622EB9"/>
    <w:multiLevelType w:val="hybridMultilevel"/>
    <w:tmpl w:val="1C648982"/>
    <w:lvl w:ilvl="0" w:tplc="FFFFFFFF">
      <w:start w:val="1"/>
      <w:numFmt w:val="upperRoman"/>
      <w:lvlText w:val="%1."/>
      <w:lvlJc w:val="righ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333F04"/>
    <w:multiLevelType w:val="hybridMultilevel"/>
    <w:tmpl w:val="DAFEF3E6"/>
    <w:lvl w:ilvl="0" w:tplc="21EA5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E2D17"/>
    <w:multiLevelType w:val="hybridMultilevel"/>
    <w:tmpl w:val="69B4A8E4"/>
    <w:lvl w:ilvl="0" w:tplc="FFFFFFFF">
      <w:start w:val="1"/>
      <w:numFmt w:val="upperRoman"/>
      <w:lvlText w:val="%1."/>
      <w:lvlJc w:val="right"/>
      <w:pPr>
        <w:ind w:left="36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5D85E5B"/>
    <w:multiLevelType w:val="hybridMultilevel"/>
    <w:tmpl w:val="36FE37FC"/>
    <w:lvl w:ilvl="0" w:tplc="993E8E58">
      <w:start w:val="3"/>
      <w:numFmt w:val="lowerLetter"/>
      <w:lvlText w:val="%1."/>
      <w:lvlJc w:val="left"/>
      <w:pPr>
        <w:ind w:left="819" w:hanging="360"/>
      </w:pPr>
      <w:rPr>
        <w:rFonts w:ascii="Times New Roman" w:eastAsia="Times New Roman" w:hAnsi="Times New Roman" w:cs="Times New Roman" w:hint="default"/>
        <w:b w:val="0"/>
        <w:bCs w:val="0"/>
        <w:i w:val="0"/>
        <w:iCs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9F178B"/>
    <w:multiLevelType w:val="hybridMultilevel"/>
    <w:tmpl w:val="0A1AF3D6"/>
    <w:lvl w:ilvl="0" w:tplc="04090013">
      <w:start w:val="1"/>
      <w:numFmt w:val="upperRoman"/>
      <w:lvlText w:val="%1."/>
      <w:lvlJc w:val="righ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5592688"/>
    <w:multiLevelType w:val="hybridMultilevel"/>
    <w:tmpl w:val="D6CC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A29FE"/>
    <w:multiLevelType w:val="hybridMultilevel"/>
    <w:tmpl w:val="B784F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86598"/>
    <w:multiLevelType w:val="hybridMultilevel"/>
    <w:tmpl w:val="1460028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D6C6206"/>
    <w:multiLevelType w:val="hybridMultilevel"/>
    <w:tmpl w:val="A1E672F6"/>
    <w:lvl w:ilvl="0" w:tplc="BE928366">
      <w:start w:val="1"/>
      <w:numFmt w:val="decimal"/>
      <w:lvlText w:val="%1."/>
      <w:lvlJc w:val="left"/>
      <w:pPr>
        <w:ind w:left="820" w:hanging="361"/>
      </w:pPr>
      <w:rPr>
        <w:rFonts w:ascii="Times New Roman" w:eastAsia="Times New Roman" w:hAnsi="Times New Roman" w:cs="Times New Roman" w:hint="default"/>
        <w:b/>
        <w:bCs/>
        <w:i w:val="0"/>
        <w:iCs w:val="0"/>
        <w:w w:val="100"/>
        <w:sz w:val="24"/>
        <w:szCs w:val="24"/>
        <w:lang w:val="en-US" w:eastAsia="en-US" w:bidi="ar-SA"/>
      </w:rPr>
    </w:lvl>
    <w:lvl w:ilvl="1" w:tplc="75D4E81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84C26E6A">
      <w:start w:val="1"/>
      <w:numFmt w:val="lowerRoman"/>
      <w:lvlText w:val="%3."/>
      <w:lvlJc w:val="left"/>
      <w:pPr>
        <w:ind w:left="1583" w:hanging="315"/>
        <w:jc w:val="right"/>
      </w:pPr>
      <w:rPr>
        <w:rFonts w:ascii="Times New Roman" w:eastAsia="Times New Roman" w:hAnsi="Times New Roman" w:cs="Times New Roman" w:hint="default"/>
        <w:b w:val="0"/>
        <w:bCs w:val="0"/>
        <w:i w:val="0"/>
        <w:iCs w:val="0"/>
        <w:w w:val="100"/>
        <w:sz w:val="24"/>
        <w:szCs w:val="24"/>
        <w:lang w:val="en-US" w:eastAsia="en-US" w:bidi="ar-SA"/>
      </w:rPr>
    </w:lvl>
    <w:lvl w:ilvl="3" w:tplc="47D8BBB6">
      <w:numFmt w:val="bullet"/>
      <w:lvlText w:val="•"/>
      <w:lvlJc w:val="left"/>
      <w:pPr>
        <w:ind w:left="2577" w:hanging="315"/>
      </w:pPr>
      <w:rPr>
        <w:rFonts w:hint="default"/>
        <w:lang w:val="en-US" w:eastAsia="en-US" w:bidi="ar-SA"/>
      </w:rPr>
    </w:lvl>
    <w:lvl w:ilvl="4" w:tplc="E014FC90">
      <w:numFmt w:val="bullet"/>
      <w:lvlText w:val="•"/>
      <w:lvlJc w:val="left"/>
      <w:pPr>
        <w:ind w:left="3575" w:hanging="315"/>
      </w:pPr>
      <w:rPr>
        <w:rFonts w:hint="default"/>
        <w:lang w:val="en-US" w:eastAsia="en-US" w:bidi="ar-SA"/>
      </w:rPr>
    </w:lvl>
    <w:lvl w:ilvl="5" w:tplc="B4A6DFC0">
      <w:numFmt w:val="bullet"/>
      <w:lvlText w:val="•"/>
      <w:lvlJc w:val="left"/>
      <w:pPr>
        <w:ind w:left="4572" w:hanging="315"/>
      </w:pPr>
      <w:rPr>
        <w:rFonts w:hint="default"/>
        <w:lang w:val="en-US" w:eastAsia="en-US" w:bidi="ar-SA"/>
      </w:rPr>
    </w:lvl>
    <w:lvl w:ilvl="6" w:tplc="688C4F2E">
      <w:numFmt w:val="bullet"/>
      <w:lvlText w:val="•"/>
      <w:lvlJc w:val="left"/>
      <w:pPr>
        <w:ind w:left="5570" w:hanging="315"/>
      </w:pPr>
      <w:rPr>
        <w:rFonts w:hint="default"/>
        <w:lang w:val="en-US" w:eastAsia="en-US" w:bidi="ar-SA"/>
      </w:rPr>
    </w:lvl>
    <w:lvl w:ilvl="7" w:tplc="0BD2B7A4">
      <w:numFmt w:val="bullet"/>
      <w:lvlText w:val="•"/>
      <w:lvlJc w:val="left"/>
      <w:pPr>
        <w:ind w:left="6567" w:hanging="315"/>
      </w:pPr>
      <w:rPr>
        <w:rFonts w:hint="default"/>
        <w:lang w:val="en-US" w:eastAsia="en-US" w:bidi="ar-SA"/>
      </w:rPr>
    </w:lvl>
    <w:lvl w:ilvl="8" w:tplc="80B4D65C">
      <w:numFmt w:val="bullet"/>
      <w:lvlText w:val="•"/>
      <w:lvlJc w:val="left"/>
      <w:pPr>
        <w:ind w:left="7565" w:hanging="315"/>
      </w:pPr>
      <w:rPr>
        <w:rFonts w:hint="default"/>
        <w:lang w:val="en-US" w:eastAsia="en-US" w:bidi="ar-SA"/>
      </w:rPr>
    </w:lvl>
  </w:abstractNum>
  <w:abstractNum w:abstractNumId="15" w15:restartNumberingAfterBreak="0">
    <w:nsid w:val="517E24DC"/>
    <w:multiLevelType w:val="hybridMultilevel"/>
    <w:tmpl w:val="DA94DF92"/>
    <w:lvl w:ilvl="0" w:tplc="04090013">
      <w:start w:val="1"/>
      <w:numFmt w:val="upperRoman"/>
      <w:lvlText w:val="%1."/>
      <w:lvlJc w:val="righ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59201A5"/>
    <w:multiLevelType w:val="hybridMultilevel"/>
    <w:tmpl w:val="ADCE4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EF4473"/>
    <w:multiLevelType w:val="hybridMultilevel"/>
    <w:tmpl w:val="68D2A9DA"/>
    <w:lvl w:ilvl="0" w:tplc="84C26E6A">
      <w:start w:val="1"/>
      <w:numFmt w:val="lowerRoman"/>
      <w:lvlText w:val="%1."/>
      <w:lvlJc w:val="left"/>
      <w:pPr>
        <w:ind w:left="1583" w:hanging="315"/>
        <w:jc w:val="right"/>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966D8"/>
    <w:multiLevelType w:val="hybridMultilevel"/>
    <w:tmpl w:val="9148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00475"/>
    <w:multiLevelType w:val="hybridMultilevel"/>
    <w:tmpl w:val="581A5252"/>
    <w:lvl w:ilvl="0" w:tplc="98C650F4">
      <w:start w:val="1"/>
      <w:numFmt w:val="decimal"/>
      <w:lvlText w:val="%1."/>
      <w:lvlJc w:val="left"/>
      <w:pPr>
        <w:ind w:left="926" w:hanging="361"/>
      </w:pPr>
      <w:rPr>
        <w:rFonts w:ascii="Times New Roman" w:eastAsia="Times New Roman" w:hAnsi="Times New Roman" w:cs="Times New Roman" w:hint="default"/>
        <w:b w:val="0"/>
        <w:bCs w:val="0"/>
        <w:i w:val="0"/>
        <w:iCs w:val="0"/>
        <w:w w:val="100"/>
        <w:sz w:val="24"/>
        <w:szCs w:val="24"/>
        <w:lang w:val="en-US" w:eastAsia="en-US" w:bidi="ar-SA"/>
      </w:rPr>
    </w:lvl>
    <w:lvl w:ilvl="1" w:tplc="1A127594">
      <w:numFmt w:val="bullet"/>
      <w:lvlText w:val="•"/>
      <w:lvlJc w:val="left"/>
      <w:pPr>
        <w:ind w:left="1784" w:hanging="361"/>
      </w:pPr>
      <w:rPr>
        <w:rFonts w:hint="default"/>
        <w:lang w:val="en-US" w:eastAsia="en-US" w:bidi="ar-SA"/>
      </w:rPr>
    </w:lvl>
    <w:lvl w:ilvl="2" w:tplc="31E8E5E8">
      <w:numFmt w:val="bullet"/>
      <w:lvlText w:val="•"/>
      <w:lvlJc w:val="left"/>
      <w:pPr>
        <w:ind w:left="2648" w:hanging="361"/>
      </w:pPr>
      <w:rPr>
        <w:rFonts w:hint="default"/>
        <w:lang w:val="en-US" w:eastAsia="en-US" w:bidi="ar-SA"/>
      </w:rPr>
    </w:lvl>
    <w:lvl w:ilvl="3" w:tplc="8C24E822">
      <w:numFmt w:val="bullet"/>
      <w:lvlText w:val="•"/>
      <w:lvlJc w:val="left"/>
      <w:pPr>
        <w:ind w:left="3512" w:hanging="361"/>
      </w:pPr>
      <w:rPr>
        <w:rFonts w:hint="default"/>
        <w:lang w:val="en-US" w:eastAsia="en-US" w:bidi="ar-SA"/>
      </w:rPr>
    </w:lvl>
    <w:lvl w:ilvl="4" w:tplc="1C5C37D2">
      <w:numFmt w:val="bullet"/>
      <w:lvlText w:val="•"/>
      <w:lvlJc w:val="left"/>
      <w:pPr>
        <w:ind w:left="4376" w:hanging="361"/>
      </w:pPr>
      <w:rPr>
        <w:rFonts w:hint="default"/>
        <w:lang w:val="en-US" w:eastAsia="en-US" w:bidi="ar-SA"/>
      </w:rPr>
    </w:lvl>
    <w:lvl w:ilvl="5" w:tplc="C83A11C8">
      <w:numFmt w:val="bullet"/>
      <w:lvlText w:val="•"/>
      <w:lvlJc w:val="left"/>
      <w:pPr>
        <w:ind w:left="5240" w:hanging="361"/>
      </w:pPr>
      <w:rPr>
        <w:rFonts w:hint="default"/>
        <w:lang w:val="en-US" w:eastAsia="en-US" w:bidi="ar-SA"/>
      </w:rPr>
    </w:lvl>
    <w:lvl w:ilvl="6" w:tplc="727A4192">
      <w:numFmt w:val="bullet"/>
      <w:lvlText w:val="•"/>
      <w:lvlJc w:val="left"/>
      <w:pPr>
        <w:ind w:left="6104" w:hanging="361"/>
      </w:pPr>
      <w:rPr>
        <w:rFonts w:hint="default"/>
        <w:lang w:val="en-US" w:eastAsia="en-US" w:bidi="ar-SA"/>
      </w:rPr>
    </w:lvl>
    <w:lvl w:ilvl="7" w:tplc="CA3AD1FA">
      <w:numFmt w:val="bullet"/>
      <w:lvlText w:val="•"/>
      <w:lvlJc w:val="left"/>
      <w:pPr>
        <w:ind w:left="6968" w:hanging="361"/>
      </w:pPr>
      <w:rPr>
        <w:rFonts w:hint="default"/>
        <w:lang w:val="en-US" w:eastAsia="en-US" w:bidi="ar-SA"/>
      </w:rPr>
    </w:lvl>
    <w:lvl w:ilvl="8" w:tplc="21D416EC">
      <w:numFmt w:val="bullet"/>
      <w:lvlText w:val="•"/>
      <w:lvlJc w:val="left"/>
      <w:pPr>
        <w:ind w:left="7832" w:hanging="361"/>
      </w:pPr>
      <w:rPr>
        <w:rFonts w:hint="default"/>
        <w:lang w:val="en-US" w:eastAsia="en-US" w:bidi="ar-SA"/>
      </w:rPr>
    </w:lvl>
  </w:abstractNum>
  <w:abstractNum w:abstractNumId="20" w15:restartNumberingAfterBreak="0">
    <w:nsid w:val="650D69BE"/>
    <w:multiLevelType w:val="hybridMultilevel"/>
    <w:tmpl w:val="4B7E95EA"/>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DA51C46"/>
    <w:multiLevelType w:val="hybridMultilevel"/>
    <w:tmpl w:val="36D61FDA"/>
    <w:lvl w:ilvl="0" w:tplc="04090015">
      <w:start w:val="1"/>
      <w:numFmt w:val="upperLetter"/>
      <w:lvlText w:val="%1."/>
      <w:lvlJc w:val="lef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6E0A32"/>
    <w:multiLevelType w:val="hybridMultilevel"/>
    <w:tmpl w:val="BF607CE4"/>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747A61"/>
    <w:multiLevelType w:val="hybridMultilevel"/>
    <w:tmpl w:val="7D4C5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8392E"/>
    <w:multiLevelType w:val="hybridMultilevel"/>
    <w:tmpl w:val="B80A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43639"/>
    <w:multiLevelType w:val="hybridMultilevel"/>
    <w:tmpl w:val="BF7EE7C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893DB7"/>
    <w:multiLevelType w:val="hybridMultilevel"/>
    <w:tmpl w:val="6BF2815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C7766"/>
    <w:multiLevelType w:val="hybridMultilevel"/>
    <w:tmpl w:val="7FB0E37E"/>
    <w:lvl w:ilvl="0" w:tplc="FFFFFFFF">
      <w:start w:val="1"/>
      <w:numFmt w:val="upperRoman"/>
      <w:lvlText w:val="%1."/>
      <w:lvlJc w:val="right"/>
      <w:pPr>
        <w:ind w:left="360" w:hanging="360"/>
      </w:pPr>
    </w:lvl>
    <w:lvl w:ilvl="1" w:tplc="04090015">
      <w:start w:val="1"/>
      <w:numFmt w:val="upp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482F69"/>
    <w:multiLevelType w:val="hybridMultilevel"/>
    <w:tmpl w:val="3A8EE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053515">
    <w:abstractNumId w:val="19"/>
  </w:num>
  <w:num w:numId="2" w16cid:durableId="628438748">
    <w:abstractNumId w:val="14"/>
  </w:num>
  <w:num w:numId="3" w16cid:durableId="625619346">
    <w:abstractNumId w:val="24"/>
  </w:num>
  <w:num w:numId="4" w16cid:durableId="1035228617">
    <w:abstractNumId w:val="16"/>
  </w:num>
  <w:num w:numId="5" w16cid:durableId="1184393856">
    <w:abstractNumId w:val="7"/>
  </w:num>
  <w:num w:numId="6" w16cid:durableId="1443106242">
    <w:abstractNumId w:val="13"/>
  </w:num>
  <w:num w:numId="7" w16cid:durableId="37241094">
    <w:abstractNumId w:val="17"/>
  </w:num>
  <w:num w:numId="8" w16cid:durableId="809177339">
    <w:abstractNumId w:val="5"/>
  </w:num>
  <w:num w:numId="9" w16cid:durableId="960184131">
    <w:abstractNumId w:val="9"/>
  </w:num>
  <w:num w:numId="10" w16cid:durableId="212892553">
    <w:abstractNumId w:val="3"/>
  </w:num>
  <w:num w:numId="11" w16cid:durableId="1784956721">
    <w:abstractNumId w:val="18"/>
  </w:num>
  <w:num w:numId="12" w16cid:durableId="1955551809">
    <w:abstractNumId w:val="11"/>
  </w:num>
  <w:num w:numId="13" w16cid:durableId="57242162">
    <w:abstractNumId w:val="12"/>
  </w:num>
  <w:num w:numId="14" w16cid:durableId="711080242">
    <w:abstractNumId w:val="23"/>
  </w:num>
  <w:num w:numId="15" w16cid:durableId="1261530082">
    <w:abstractNumId w:val="2"/>
  </w:num>
  <w:num w:numId="16" w16cid:durableId="1951235533">
    <w:abstractNumId w:val="26"/>
  </w:num>
  <w:num w:numId="17" w16cid:durableId="1432699518">
    <w:abstractNumId w:val="15"/>
  </w:num>
  <w:num w:numId="18" w16cid:durableId="1757752856">
    <w:abstractNumId w:val="10"/>
  </w:num>
  <w:num w:numId="19" w16cid:durableId="731394031">
    <w:abstractNumId w:val="0"/>
  </w:num>
  <w:num w:numId="20" w16cid:durableId="1385518420">
    <w:abstractNumId w:val="27"/>
  </w:num>
  <w:num w:numId="21" w16cid:durableId="2017801402">
    <w:abstractNumId w:val="28"/>
  </w:num>
  <w:num w:numId="22" w16cid:durableId="1004432244">
    <w:abstractNumId w:val="6"/>
  </w:num>
  <w:num w:numId="23" w16cid:durableId="329792429">
    <w:abstractNumId w:val="1"/>
  </w:num>
  <w:num w:numId="24" w16cid:durableId="1562322813">
    <w:abstractNumId w:val="21"/>
  </w:num>
  <w:num w:numId="25" w16cid:durableId="2052223079">
    <w:abstractNumId w:val="8"/>
  </w:num>
  <w:num w:numId="26" w16cid:durableId="905921167">
    <w:abstractNumId w:val="4"/>
  </w:num>
  <w:num w:numId="27" w16cid:durableId="1725644019">
    <w:abstractNumId w:val="20"/>
  </w:num>
  <w:num w:numId="28" w16cid:durableId="1507011127">
    <w:abstractNumId w:val="22"/>
  </w:num>
  <w:num w:numId="29" w16cid:durableId="16676341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MzQwNzY2MLQwNzZT0lEKTi0uzszPAykwrwUAskGJHSwAAAA="/>
  </w:docVars>
  <w:rsids>
    <w:rsidRoot w:val="00046654"/>
    <w:rsid w:val="000378C9"/>
    <w:rsid w:val="00041AFB"/>
    <w:rsid w:val="00043825"/>
    <w:rsid w:val="00046654"/>
    <w:rsid w:val="00052D90"/>
    <w:rsid w:val="00053214"/>
    <w:rsid w:val="000825D6"/>
    <w:rsid w:val="00086FA6"/>
    <w:rsid w:val="00087298"/>
    <w:rsid w:val="00087E0F"/>
    <w:rsid w:val="00091612"/>
    <w:rsid w:val="00096F0F"/>
    <w:rsid w:val="000A5B26"/>
    <w:rsid w:val="000F05DB"/>
    <w:rsid w:val="00102A66"/>
    <w:rsid w:val="001450D2"/>
    <w:rsid w:val="0016744E"/>
    <w:rsid w:val="00180274"/>
    <w:rsid w:val="0018195D"/>
    <w:rsid w:val="001A46B0"/>
    <w:rsid w:val="001A4F58"/>
    <w:rsid w:val="001D4766"/>
    <w:rsid w:val="00202A2E"/>
    <w:rsid w:val="00256450"/>
    <w:rsid w:val="00257A3D"/>
    <w:rsid w:val="00263BAE"/>
    <w:rsid w:val="0029467E"/>
    <w:rsid w:val="00294B01"/>
    <w:rsid w:val="002B13D2"/>
    <w:rsid w:val="002B31D3"/>
    <w:rsid w:val="002D44AA"/>
    <w:rsid w:val="002E7072"/>
    <w:rsid w:val="002F49B5"/>
    <w:rsid w:val="0031244D"/>
    <w:rsid w:val="00342E91"/>
    <w:rsid w:val="003446A7"/>
    <w:rsid w:val="00345E1F"/>
    <w:rsid w:val="00376C47"/>
    <w:rsid w:val="003B6158"/>
    <w:rsid w:val="003F3C99"/>
    <w:rsid w:val="003F7EC6"/>
    <w:rsid w:val="00403F97"/>
    <w:rsid w:val="00413C4A"/>
    <w:rsid w:val="00420745"/>
    <w:rsid w:val="0043231C"/>
    <w:rsid w:val="00433424"/>
    <w:rsid w:val="00465CE0"/>
    <w:rsid w:val="00473058"/>
    <w:rsid w:val="0049272E"/>
    <w:rsid w:val="004928BF"/>
    <w:rsid w:val="004C65BB"/>
    <w:rsid w:val="004D7491"/>
    <w:rsid w:val="004F1540"/>
    <w:rsid w:val="0050680B"/>
    <w:rsid w:val="00526EB5"/>
    <w:rsid w:val="005771BE"/>
    <w:rsid w:val="00577C30"/>
    <w:rsid w:val="005D50E5"/>
    <w:rsid w:val="005D554A"/>
    <w:rsid w:val="005F148E"/>
    <w:rsid w:val="005F694D"/>
    <w:rsid w:val="0063296B"/>
    <w:rsid w:val="0065788B"/>
    <w:rsid w:val="00663EBB"/>
    <w:rsid w:val="00686666"/>
    <w:rsid w:val="006900A2"/>
    <w:rsid w:val="006D02B7"/>
    <w:rsid w:val="006F7BC3"/>
    <w:rsid w:val="007041FC"/>
    <w:rsid w:val="0070499E"/>
    <w:rsid w:val="007163EE"/>
    <w:rsid w:val="00727007"/>
    <w:rsid w:val="00742D38"/>
    <w:rsid w:val="00752020"/>
    <w:rsid w:val="00755EB9"/>
    <w:rsid w:val="00773946"/>
    <w:rsid w:val="007A75B9"/>
    <w:rsid w:val="007B5F3F"/>
    <w:rsid w:val="007E5C1C"/>
    <w:rsid w:val="008013C7"/>
    <w:rsid w:val="00850846"/>
    <w:rsid w:val="00851B19"/>
    <w:rsid w:val="00861953"/>
    <w:rsid w:val="008736AF"/>
    <w:rsid w:val="008875CA"/>
    <w:rsid w:val="008A1BB0"/>
    <w:rsid w:val="008C04D4"/>
    <w:rsid w:val="008C2219"/>
    <w:rsid w:val="008C41A8"/>
    <w:rsid w:val="008D7BF5"/>
    <w:rsid w:val="008F42C7"/>
    <w:rsid w:val="00905271"/>
    <w:rsid w:val="00956EB5"/>
    <w:rsid w:val="009C6105"/>
    <w:rsid w:val="009F213E"/>
    <w:rsid w:val="00A0685A"/>
    <w:rsid w:val="00A10989"/>
    <w:rsid w:val="00A1326E"/>
    <w:rsid w:val="00A16C46"/>
    <w:rsid w:val="00A456C0"/>
    <w:rsid w:val="00A8516C"/>
    <w:rsid w:val="00AB1576"/>
    <w:rsid w:val="00AD210A"/>
    <w:rsid w:val="00AD6C64"/>
    <w:rsid w:val="00AF06EA"/>
    <w:rsid w:val="00AF4E74"/>
    <w:rsid w:val="00B00D48"/>
    <w:rsid w:val="00B05C3E"/>
    <w:rsid w:val="00B36A52"/>
    <w:rsid w:val="00B37805"/>
    <w:rsid w:val="00BC6486"/>
    <w:rsid w:val="00C22183"/>
    <w:rsid w:val="00C24E8E"/>
    <w:rsid w:val="00C328F0"/>
    <w:rsid w:val="00C7230E"/>
    <w:rsid w:val="00C734C8"/>
    <w:rsid w:val="00C816D6"/>
    <w:rsid w:val="00C86735"/>
    <w:rsid w:val="00C9602D"/>
    <w:rsid w:val="00C97CF4"/>
    <w:rsid w:val="00CB051C"/>
    <w:rsid w:val="00CB3E98"/>
    <w:rsid w:val="00CC11C0"/>
    <w:rsid w:val="00CC747D"/>
    <w:rsid w:val="00CD2FCB"/>
    <w:rsid w:val="00CE2C64"/>
    <w:rsid w:val="00CE3D45"/>
    <w:rsid w:val="00D51768"/>
    <w:rsid w:val="00D7750E"/>
    <w:rsid w:val="00D95DA4"/>
    <w:rsid w:val="00DE0004"/>
    <w:rsid w:val="00DE192E"/>
    <w:rsid w:val="00DE6508"/>
    <w:rsid w:val="00DF6AC6"/>
    <w:rsid w:val="00DF775C"/>
    <w:rsid w:val="00E24393"/>
    <w:rsid w:val="00E40F0F"/>
    <w:rsid w:val="00E42A49"/>
    <w:rsid w:val="00E44C82"/>
    <w:rsid w:val="00E60EAD"/>
    <w:rsid w:val="00E718EE"/>
    <w:rsid w:val="00E71E04"/>
    <w:rsid w:val="00E838C8"/>
    <w:rsid w:val="00EB1553"/>
    <w:rsid w:val="00EF0849"/>
    <w:rsid w:val="00F01DA3"/>
    <w:rsid w:val="00F02043"/>
    <w:rsid w:val="00F026D8"/>
    <w:rsid w:val="00F258C4"/>
    <w:rsid w:val="00F614D9"/>
    <w:rsid w:val="00F73D50"/>
    <w:rsid w:val="00F8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1F73"/>
  <w15:docId w15:val="{72153667-BDA4-41FE-B59C-90A3AC51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361"/>
      <w:outlineLvl w:val="0"/>
    </w:pPr>
    <w:rPr>
      <w:b/>
      <w:bCs/>
      <w:sz w:val="24"/>
      <w:szCs w:val="24"/>
    </w:rPr>
  </w:style>
  <w:style w:type="paragraph" w:styleId="Heading2">
    <w:name w:val="heading 2"/>
    <w:basedOn w:val="Normal"/>
    <w:next w:val="Normal"/>
    <w:link w:val="Heading2Char"/>
    <w:uiPriority w:val="9"/>
    <w:semiHidden/>
    <w:unhideWhenUsed/>
    <w:qFormat/>
    <w:rsid w:val="004D74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3"/>
    </w:pPr>
    <w:rPr>
      <w:sz w:val="24"/>
      <w:szCs w:val="24"/>
    </w:rPr>
  </w:style>
  <w:style w:type="paragraph" w:styleId="ListParagraph">
    <w:name w:val="List Paragraph"/>
    <w:basedOn w:val="Normal"/>
    <w:uiPriority w:val="1"/>
    <w:qFormat/>
    <w:pPr>
      <w:ind w:left="1583"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22183"/>
    <w:rPr>
      <w:sz w:val="16"/>
      <w:szCs w:val="16"/>
    </w:rPr>
  </w:style>
  <w:style w:type="paragraph" w:styleId="CommentText">
    <w:name w:val="annotation text"/>
    <w:basedOn w:val="Normal"/>
    <w:link w:val="CommentTextChar"/>
    <w:uiPriority w:val="99"/>
    <w:unhideWhenUsed/>
    <w:rsid w:val="00C22183"/>
    <w:rPr>
      <w:sz w:val="20"/>
      <w:szCs w:val="20"/>
    </w:rPr>
  </w:style>
  <w:style w:type="character" w:customStyle="1" w:styleId="CommentTextChar">
    <w:name w:val="Comment Text Char"/>
    <w:basedOn w:val="DefaultParagraphFont"/>
    <w:link w:val="CommentText"/>
    <w:uiPriority w:val="99"/>
    <w:rsid w:val="00C221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183"/>
    <w:rPr>
      <w:b/>
      <w:bCs/>
    </w:rPr>
  </w:style>
  <w:style w:type="character" w:customStyle="1" w:styleId="CommentSubjectChar">
    <w:name w:val="Comment Subject Char"/>
    <w:basedOn w:val="CommentTextChar"/>
    <w:link w:val="CommentSubject"/>
    <w:uiPriority w:val="99"/>
    <w:semiHidden/>
    <w:rsid w:val="00C22183"/>
    <w:rPr>
      <w:rFonts w:ascii="Times New Roman" w:eastAsia="Times New Roman" w:hAnsi="Times New Roman" w:cs="Times New Roman"/>
      <w:b/>
      <w:bCs/>
      <w:sz w:val="20"/>
      <w:szCs w:val="20"/>
    </w:rPr>
  </w:style>
  <w:style w:type="paragraph" w:styleId="Revision">
    <w:name w:val="Revision"/>
    <w:hidden/>
    <w:uiPriority w:val="99"/>
    <w:semiHidden/>
    <w:rsid w:val="00C22183"/>
    <w:pPr>
      <w:widowControl/>
      <w:autoSpaceDE/>
      <w:autoSpaceDN/>
    </w:pPr>
    <w:rPr>
      <w:rFonts w:ascii="Times New Roman" w:eastAsia="Times New Roman" w:hAnsi="Times New Roman" w:cs="Times New Roman"/>
    </w:rPr>
  </w:style>
  <w:style w:type="character" w:customStyle="1" w:styleId="cf01">
    <w:name w:val="cf01"/>
    <w:basedOn w:val="DefaultParagraphFont"/>
    <w:rsid w:val="00D7750E"/>
    <w:rPr>
      <w:rFonts w:ascii="Segoe UI" w:hAnsi="Segoe UI" w:cs="Segoe UI" w:hint="default"/>
      <w:sz w:val="18"/>
      <w:szCs w:val="18"/>
    </w:rPr>
  </w:style>
  <w:style w:type="paragraph" w:styleId="FootnoteText">
    <w:name w:val="footnote text"/>
    <w:basedOn w:val="Normal"/>
    <w:link w:val="FootnoteTextChar"/>
    <w:uiPriority w:val="99"/>
    <w:semiHidden/>
    <w:unhideWhenUsed/>
    <w:rsid w:val="0063296B"/>
    <w:rPr>
      <w:sz w:val="20"/>
      <w:szCs w:val="20"/>
    </w:rPr>
  </w:style>
  <w:style w:type="character" w:customStyle="1" w:styleId="FootnoteTextChar">
    <w:name w:val="Footnote Text Char"/>
    <w:basedOn w:val="DefaultParagraphFont"/>
    <w:link w:val="FootnoteText"/>
    <w:uiPriority w:val="99"/>
    <w:semiHidden/>
    <w:rsid w:val="006329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296B"/>
    <w:rPr>
      <w:vertAlign w:val="superscript"/>
    </w:rPr>
  </w:style>
  <w:style w:type="table" w:styleId="TableGrid">
    <w:name w:val="Table Grid"/>
    <w:basedOn w:val="TableNormal"/>
    <w:uiPriority w:val="39"/>
    <w:rsid w:val="0074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50D2"/>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3D2"/>
    <w:rPr>
      <w:color w:val="0000FF" w:themeColor="hyperlink"/>
      <w:u w:val="single"/>
    </w:rPr>
  </w:style>
  <w:style w:type="character" w:styleId="UnresolvedMention">
    <w:name w:val="Unresolved Mention"/>
    <w:basedOn w:val="DefaultParagraphFont"/>
    <w:uiPriority w:val="99"/>
    <w:semiHidden/>
    <w:unhideWhenUsed/>
    <w:rsid w:val="002B13D2"/>
    <w:rPr>
      <w:color w:val="605E5C"/>
      <w:shd w:val="clear" w:color="auto" w:fill="E1DFDD"/>
    </w:rPr>
  </w:style>
  <w:style w:type="character" w:customStyle="1" w:styleId="Heading2Char">
    <w:name w:val="Heading 2 Char"/>
    <w:basedOn w:val="DefaultParagraphFont"/>
    <w:link w:val="Heading2"/>
    <w:uiPriority w:val="9"/>
    <w:semiHidden/>
    <w:rsid w:val="004D7491"/>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C734C8"/>
    <w:rPr>
      <w:sz w:val="20"/>
      <w:szCs w:val="20"/>
    </w:rPr>
  </w:style>
  <w:style w:type="character" w:customStyle="1" w:styleId="EndnoteTextChar">
    <w:name w:val="Endnote Text Char"/>
    <w:basedOn w:val="DefaultParagraphFont"/>
    <w:link w:val="EndnoteText"/>
    <w:uiPriority w:val="99"/>
    <w:semiHidden/>
    <w:rsid w:val="00C734C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34C8"/>
    <w:rPr>
      <w:vertAlign w:val="superscript"/>
    </w:rPr>
  </w:style>
  <w:style w:type="character" w:styleId="FollowedHyperlink">
    <w:name w:val="FollowedHyperlink"/>
    <w:basedOn w:val="DefaultParagraphFont"/>
    <w:uiPriority w:val="99"/>
    <w:semiHidden/>
    <w:unhideWhenUsed/>
    <w:rsid w:val="002D44AA"/>
    <w:rPr>
      <w:color w:val="800080" w:themeColor="followedHyperlink"/>
      <w:u w:val="single"/>
    </w:rPr>
  </w:style>
  <w:style w:type="paragraph" w:customStyle="1" w:styleId="pf0">
    <w:name w:val="pf0"/>
    <w:basedOn w:val="Normal"/>
    <w:rsid w:val="002F49B5"/>
    <w:pPr>
      <w:widowControl/>
      <w:autoSpaceDE/>
      <w:autoSpaceDN/>
      <w:spacing w:before="100" w:beforeAutospacing="1" w:after="100" w:afterAutospacing="1"/>
    </w:pPr>
    <w:rPr>
      <w:sz w:val="24"/>
      <w:szCs w:val="24"/>
      <w:lang w:val="de-DE" w:eastAsia="de-DE"/>
    </w:rPr>
  </w:style>
  <w:style w:type="character" w:customStyle="1" w:styleId="ui-provider">
    <w:name w:val="ui-provider"/>
    <w:basedOn w:val="DefaultParagraphFont"/>
    <w:rsid w:val="00345E1F"/>
  </w:style>
  <w:style w:type="paragraph" w:styleId="Header">
    <w:name w:val="header"/>
    <w:basedOn w:val="Normal"/>
    <w:link w:val="HeaderChar"/>
    <w:uiPriority w:val="99"/>
    <w:unhideWhenUsed/>
    <w:rsid w:val="00B00D48"/>
    <w:pPr>
      <w:tabs>
        <w:tab w:val="center" w:pos="4513"/>
        <w:tab w:val="right" w:pos="9026"/>
      </w:tabs>
    </w:pPr>
  </w:style>
  <w:style w:type="character" w:customStyle="1" w:styleId="HeaderChar">
    <w:name w:val="Header Char"/>
    <w:basedOn w:val="DefaultParagraphFont"/>
    <w:link w:val="Header"/>
    <w:uiPriority w:val="99"/>
    <w:rsid w:val="00B00D48"/>
    <w:rPr>
      <w:rFonts w:ascii="Times New Roman" w:eastAsia="Times New Roman" w:hAnsi="Times New Roman" w:cs="Times New Roman"/>
    </w:rPr>
  </w:style>
  <w:style w:type="paragraph" w:styleId="Footer">
    <w:name w:val="footer"/>
    <w:basedOn w:val="Normal"/>
    <w:link w:val="FooterChar"/>
    <w:uiPriority w:val="99"/>
    <w:unhideWhenUsed/>
    <w:rsid w:val="00B00D48"/>
    <w:pPr>
      <w:tabs>
        <w:tab w:val="center" w:pos="4513"/>
        <w:tab w:val="right" w:pos="9026"/>
      </w:tabs>
    </w:pPr>
  </w:style>
  <w:style w:type="character" w:customStyle="1" w:styleId="FooterChar">
    <w:name w:val="Footer Char"/>
    <w:basedOn w:val="DefaultParagraphFont"/>
    <w:link w:val="Footer"/>
    <w:uiPriority w:val="99"/>
    <w:rsid w:val="00B00D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4487">
      <w:bodyDiv w:val="1"/>
      <w:marLeft w:val="0"/>
      <w:marRight w:val="0"/>
      <w:marTop w:val="0"/>
      <w:marBottom w:val="0"/>
      <w:divBdr>
        <w:top w:val="none" w:sz="0" w:space="0" w:color="auto"/>
        <w:left w:val="none" w:sz="0" w:space="0" w:color="auto"/>
        <w:bottom w:val="none" w:sz="0" w:space="0" w:color="auto"/>
        <w:right w:val="none" w:sz="0" w:space="0" w:color="auto"/>
      </w:divBdr>
    </w:div>
    <w:div w:id="526599291">
      <w:bodyDiv w:val="1"/>
      <w:marLeft w:val="0"/>
      <w:marRight w:val="0"/>
      <w:marTop w:val="0"/>
      <w:marBottom w:val="0"/>
      <w:divBdr>
        <w:top w:val="none" w:sz="0" w:space="0" w:color="auto"/>
        <w:left w:val="none" w:sz="0" w:space="0" w:color="auto"/>
        <w:bottom w:val="none" w:sz="0" w:space="0" w:color="auto"/>
        <w:right w:val="none" w:sz="0" w:space="0" w:color="auto"/>
      </w:divBdr>
    </w:div>
    <w:div w:id="1135562224">
      <w:bodyDiv w:val="1"/>
      <w:marLeft w:val="0"/>
      <w:marRight w:val="0"/>
      <w:marTop w:val="0"/>
      <w:marBottom w:val="0"/>
      <w:divBdr>
        <w:top w:val="none" w:sz="0" w:space="0" w:color="auto"/>
        <w:left w:val="none" w:sz="0" w:space="0" w:color="auto"/>
        <w:bottom w:val="none" w:sz="0" w:space="0" w:color="auto"/>
        <w:right w:val="none" w:sz="0" w:space="0" w:color="auto"/>
      </w:divBdr>
    </w:div>
    <w:div w:id="1666668721">
      <w:bodyDiv w:val="1"/>
      <w:marLeft w:val="0"/>
      <w:marRight w:val="0"/>
      <w:marTop w:val="0"/>
      <w:marBottom w:val="0"/>
      <w:divBdr>
        <w:top w:val="none" w:sz="0" w:space="0" w:color="auto"/>
        <w:left w:val="none" w:sz="0" w:space="0" w:color="auto"/>
        <w:bottom w:val="none" w:sz="0" w:space="0" w:color="auto"/>
        <w:right w:val="none" w:sz="0" w:space="0" w:color="auto"/>
      </w:divBdr>
    </w:div>
    <w:div w:id="1740975890">
      <w:bodyDiv w:val="1"/>
      <w:marLeft w:val="0"/>
      <w:marRight w:val="0"/>
      <w:marTop w:val="0"/>
      <w:marBottom w:val="0"/>
      <w:divBdr>
        <w:top w:val="none" w:sz="0" w:space="0" w:color="auto"/>
        <w:left w:val="none" w:sz="0" w:space="0" w:color="auto"/>
        <w:bottom w:val="none" w:sz="0" w:space="0" w:color="auto"/>
        <w:right w:val="none" w:sz="0" w:space="0" w:color="auto"/>
      </w:divBdr>
    </w:div>
    <w:div w:id="195790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sites/default/files/sites/instres/assessment/files/IEA-Support-of-Academic-Program-Review.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allej@ohio.edu" TargetMode="External"/><Relationship Id="rId4" Type="http://schemas.openxmlformats.org/officeDocument/2006/relationships/settings" Target="settings.xml"/><Relationship Id="rId9" Type="http://schemas.openxmlformats.org/officeDocument/2006/relationships/hyperlink" Target="https://www.ohio.edu/sites/default/files/sites/instres/assessment/files/IEA-Support-of-Academic-Program-Revie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69FF-8C73-4825-AA48-1019A9F4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Ingram</dc:creator>
  <cp:lastModifiedBy>Brock, Angela</cp:lastModifiedBy>
  <cp:revision>2</cp:revision>
  <dcterms:created xsi:type="dcterms:W3CDTF">2023-03-06T17:12:00Z</dcterms:created>
  <dcterms:modified xsi:type="dcterms:W3CDTF">2023-03-06T17:12:00Z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for Microsoft 365</vt:lpwstr>
  </property>
  <property fmtid="{D5CDD505-2E9C-101B-9397-08002B2CF9AE}" pid="4" name="LastSaved">
    <vt:filetime>2022-11-03T00:00:00Z</vt:filetime>
  </property>
  <property fmtid="{D5CDD505-2E9C-101B-9397-08002B2CF9AE}" pid="5" name="Producer">
    <vt:lpwstr>Microsoft® Word for Microsoft 365</vt:lpwstr>
  </property>
</Properties>
</file>