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D2E3" w14:textId="77777777"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65DC4D94" w:rsidR="00111455" w:rsidRPr="002425F8" w:rsidRDefault="00E31877" w:rsidP="00111455">
      <w:pPr>
        <w:jc w:val="center"/>
        <w:rPr>
          <w:rFonts w:ascii="Times New Roman" w:hAnsi="Times New Roman"/>
          <w:b/>
          <w:szCs w:val="24"/>
        </w:rPr>
      </w:pPr>
      <w:r>
        <w:rPr>
          <w:rFonts w:ascii="Times New Roman" w:hAnsi="Times New Roman"/>
          <w:b/>
          <w:szCs w:val="24"/>
        </w:rPr>
        <w:t>September 14</w:t>
      </w:r>
      <w:r w:rsidR="00193A31" w:rsidRPr="002425F8">
        <w:rPr>
          <w:rFonts w:ascii="Times New Roman" w:hAnsi="Times New Roman"/>
          <w:b/>
          <w:szCs w:val="24"/>
        </w:rPr>
        <w:t>, 2021</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7D8155D2" w14:textId="1B77FC71" w:rsidR="00111455" w:rsidRPr="002425F8" w:rsidRDefault="00111455" w:rsidP="0055757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2B1E2F" w:rsidRPr="002425F8">
        <w:rPr>
          <w:rFonts w:ascii="Times New Roman" w:hAnsi="Times New Roman"/>
          <w:szCs w:val="24"/>
        </w:rPr>
        <w:t>Benjamin Bates</w:t>
      </w:r>
      <w:r w:rsidR="00CE4EAC" w:rsidRPr="002425F8">
        <w:rPr>
          <w:rFonts w:ascii="Times New Roman" w:hAnsi="Times New Roman"/>
          <w:szCs w:val="24"/>
        </w:rPr>
        <w:t>,</w:t>
      </w:r>
      <w:r w:rsidR="002B1E2F" w:rsidRPr="002425F8">
        <w:rPr>
          <w:rFonts w:ascii="Times New Roman" w:hAnsi="Times New Roman"/>
          <w:szCs w:val="24"/>
        </w:rPr>
        <w:t xml:space="preserve"> </w:t>
      </w:r>
      <w:r w:rsidR="00A75AD6" w:rsidRPr="002425F8">
        <w:rPr>
          <w:rFonts w:ascii="Times New Roman" w:hAnsi="Times New Roman"/>
          <w:szCs w:val="24"/>
        </w:rPr>
        <w:t xml:space="preserve">Mohammed </w:t>
      </w:r>
      <w:proofErr w:type="spellStart"/>
      <w:r w:rsidR="00A75AD6" w:rsidRPr="002425F8">
        <w:rPr>
          <w:rFonts w:ascii="Times New Roman" w:hAnsi="Times New Roman"/>
          <w:szCs w:val="24"/>
        </w:rPr>
        <w:t>Bhutta</w:t>
      </w:r>
      <w:proofErr w:type="spellEnd"/>
      <w:r w:rsidR="00413C34" w:rsidRPr="002425F8">
        <w:rPr>
          <w:rFonts w:ascii="Times New Roman" w:hAnsi="Times New Roman"/>
          <w:szCs w:val="24"/>
        </w:rPr>
        <w:t xml:space="preserve">, </w:t>
      </w:r>
      <w:r w:rsidR="002B1E2F" w:rsidRPr="002425F8">
        <w:rPr>
          <w:rFonts w:ascii="Times New Roman" w:hAnsi="Times New Roman"/>
          <w:szCs w:val="24"/>
        </w:rPr>
        <w:t xml:space="preserve">, </w:t>
      </w:r>
      <w:r w:rsidR="00015C38" w:rsidRPr="002425F8">
        <w:rPr>
          <w:rFonts w:ascii="Times New Roman" w:hAnsi="Times New Roman"/>
          <w:szCs w:val="24"/>
        </w:rPr>
        <w:t>Kelly Broughton</w:t>
      </w:r>
      <w:r w:rsidR="00015C38">
        <w:rPr>
          <w:rFonts w:ascii="Times New Roman" w:hAnsi="Times New Roman"/>
          <w:szCs w:val="24"/>
        </w:rPr>
        <w:t>,</w:t>
      </w:r>
      <w:r w:rsidR="00015C38" w:rsidRPr="002425F8">
        <w:rPr>
          <w:rFonts w:ascii="Times New Roman" w:hAnsi="Times New Roman"/>
          <w:szCs w:val="24"/>
        </w:rPr>
        <w:t xml:space="preserve"> </w:t>
      </w:r>
      <w:r w:rsidR="0055757D" w:rsidRPr="002425F8">
        <w:rPr>
          <w:rFonts w:ascii="Times New Roman" w:hAnsi="Times New Roman"/>
          <w:szCs w:val="24"/>
        </w:rPr>
        <w:t xml:space="preserve">Kathleen Brown, </w:t>
      </w:r>
      <w:proofErr w:type="spellStart"/>
      <w:r w:rsidR="002B1E2F" w:rsidRPr="002425F8">
        <w:rPr>
          <w:rFonts w:ascii="Times New Roman" w:hAnsi="Times New Roman"/>
          <w:szCs w:val="24"/>
        </w:rPr>
        <w:t>Sherleena</w:t>
      </w:r>
      <w:proofErr w:type="spellEnd"/>
      <w:r w:rsidR="002B1E2F" w:rsidRPr="002425F8">
        <w:rPr>
          <w:rFonts w:ascii="Times New Roman" w:hAnsi="Times New Roman"/>
          <w:szCs w:val="24"/>
        </w:rPr>
        <w:t xml:space="preserve"> Buchman, </w:t>
      </w:r>
      <w:r w:rsidR="00015C38" w:rsidRPr="002425F8">
        <w:rPr>
          <w:rFonts w:ascii="Times New Roman" w:hAnsi="Times New Roman"/>
          <w:szCs w:val="24"/>
        </w:rPr>
        <w:t>Shea Burden</w:t>
      </w:r>
      <w:r w:rsidR="00015C38">
        <w:rPr>
          <w:rFonts w:ascii="Times New Roman" w:hAnsi="Times New Roman"/>
          <w:szCs w:val="24"/>
        </w:rPr>
        <w:t xml:space="preserve">, </w:t>
      </w:r>
      <w:r w:rsidR="00015C38" w:rsidRPr="002425F8">
        <w:rPr>
          <w:rFonts w:ascii="Times New Roman" w:hAnsi="Times New Roman"/>
          <w:szCs w:val="24"/>
        </w:rPr>
        <w:t>Carey Busch</w:t>
      </w:r>
      <w:r w:rsidR="00015C38">
        <w:rPr>
          <w:rFonts w:ascii="Times New Roman" w:hAnsi="Times New Roman"/>
          <w:szCs w:val="24"/>
        </w:rPr>
        <w:t xml:space="preserve">, </w:t>
      </w:r>
      <w:r w:rsidR="00A75AD6">
        <w:rPr>
          <w:rFonts w:ascii="Times New Roman" w:hAnsi="Times New Roman"/>
          <w:szCs w:val="24"/>
        </w:rPr>
        <w:t xml:space="preserve">Gang Chen, </w:t>
      </w:r>
      <w:r w:rsidR="00F10DA2">
        <w:rPr>
          <w:rFonts w:ascii="Times New Roman" w:hAnsi="Times New Roman"/>
          <w:szCs w:val="24"/>
        </w:rPr>
        <w:t xml:space="preserve">Cindy Cogswell, </w:t>
      </w:r>
      <w:r w:rsidR="00591CE1" w:rsidRPr="002425F8">
        <w:rPr>
          <w:rFonts w:ascii="Times New Roman" w:hAnsi="Times New Roman"/>
          <w:szCs w:val="24"/>
        </w:rPr>
        <w:t xml:space="preserve">Catherine </w:t>
      </w:r>
      <w:proofErr w:type="spellStart"/>
      <w:r w:rsidR="00591CE1" w:rsidRPr="002425F8">
        <w:rPr>
          <w:rFonts w:ascii="Times New Roman" w:hAnsi="Times New Roman"/>
          <w:szCs w:val="24"/>
        </w:rPr>
        <w:t>Cutcher</w:t>
      </w:r>
      <w:proofErr w:type="spellEnd"/>
      <w:r w:rsidR="00591CE1">
        <w:rPr>
          <w:rFonts w:ascii="Times New Roman" w:hAnsi="Times New Roman"/>
          <w:szCs w:val="24"/>
        </w:rPr>
        <w:t>,</w:t>
      </w:r>
      <w:r w:rsidR="00591CE1" w:rsidRPr="002425F8">
        <w:rPr>
          <w:rFonts w:ascii="Times New Roman" w:hAnsi="Times New Roman"/>
          <w:szCs w:val="24"/>
        </w:rPr>
        <w:t xml:space="preserve"> </w:t>
      </w:r>
      <w:r w:rsidR="002B1E2F" w:rsidRPr="002425F8">
        <w:rPr>
          <w:rFonts w:ascii="Times New Roman" w:hAnsi="Times New Roman"/>
          <w:szCs w:val="24"/>
        </w:rPr>
        <w:t>Jim Dyer</w:t>
      </w:r>
      <w:r w:rsidRPr="002425F8">
        <w:rPr>
          <w:rFonts w:ascii="Times New Roman" w:hAnsi="Times New Roman"/>
          <w:szCs w:val="24"/>
        </w:rPr>
        <w:t>,</w:t>
      </w:r>
      <w:r w:rsidR="002B1E2F" w:rsidRPr="002425F8">
        <w:rPr>
          <w:rFonts w:ascii="Times New Roman" w:hAnsi="Times New Roman"/>
          <w:szCs w:val="24"/>
        </w:rPr>
        <w:t xml:space="preserve"> </w:t>
      </w:r>
      <w:r w:rsidR="00591CE1">
        <w:rPr>
          <w:rFonts w:ascii="Times New Roman" w:hAnsi="Times New Roman"/>
          <w:szCs w:val="24"/>
        </w:rPr>
        <w:t xml:space="preserve">Todd </w:t>
      </w:r>
      <w:proofErr w:type="spellStart"/>
      <w:r w:rsidR="00591CE1">
        <w:rPr>
          <w:rFonts w:ascii="Times New Roman" w:hAnsi="Times New Roman"/>
          <w:szCs w:val="24"/>
        </w:rPr>
        <w:t>Eisworth</w:t>
      </w:r>
      <w:proofErr w:type="spellEnd"/>
      <w:r w:rsidR="00591CE1">
        <w:rPr>
          <w:rFonts w:ascii="Times New Roman" w:hAnsi="Times New Roman"/>
          <w:szCs w:val="24"/>
        </w:rPr>
        <w:t xml:space="preserve">, Ellen Gordon, Allyson Hallman-Thrasher, Daniel Harper, </w:t>
      </w:r>
      <w:r w:rsidR="00CE4EAC" w:rsidRPr="002425F8">
        <w:rPr>
          <w:rFonts w:ascii="Times New Roman" w:hAnsi="Times New Roman"/>
          <w:szCs w:val="24"/>
        </w:rPr>
        <w:t xml:space="preserve">Sara Hartman, </w:t>
      </w:r>
      <w:r w:rsidR="002B1E2F" w:rsidRPr="002425F8">
        <w:rPr>
          <w:rFonts w:ascii="Times New Roman" w:hAnsi="Times New Roman"/>
          <w:szCs w:val="24"/>
        </w:rPr>
        <w:t>Chris Hayes</w:t>
      </w:r>
      <w:r w:rsidR="00754EA1" w:rsidRPr="002425F8">
        <w:rPr>
          <w:rFonts w:ascii="Times New Roman" w:hAnsi="Times New Roman"/>
          <w:szCs w:val="24"/>
        </w:rPr>
        <w:t xml:space="preserve">, </w:t>
      </w:r>
      <w:r w:rsidR="00052574">
        <w:rPr>
          <w:rFonts w:ascii="Times New Roman" w:hAnsi="Times New Roman"/>
          <w:szCs w:val="24"/>
        </w:rPr>
        <w:t xml:space="preserve">Becky Ivan, </w:t>
      </w:r>
      <w:r w:rsidR="00591CE1">
        <w:rPr>
          <w:rFonts w:ascii="Times New Roman" w:hAnsi="Times New Roman"/>
          <w:szCs w:val="24"/>
        </w:rPr>
        <w:t xml:space="preserve">David </w:t>
      </w:r>
      <w:proofErr w:type="spellStart"/>
      <w:r w:rsidR="00591CE1">
        <w:rPr>
          <w:rFonts w:ascii="Times New Roman" w:hAnsi="Times New Roman"/>
          <w:szCs w:val="24"/>
        </w:rPr>
        <w:t>Juedes</w:t>
      </w:r>
      <w:proofErr w:type="spellEnd"/>
      <w:r w:rsidR="00591CE1">
        <w:rPr>
          <w:rFonts w:ascii="Times New Roman" w:hAnsi="Times New Roman"/>
          <w:szCs w:val="24"/>
        </w:rPr>
        <w:t xml:space="preserve">, </w:t>
      </w:r>
      <w:r w:rsidRPr="002425F8">
        <w:rPr>
          <w:rFonts w:ascii="Times New Roman" w:hAnsi="Times New Roman"/>
          <w:szCs w:val="24"/>
        </w:rPr>
        <w:t xml:space="preserve">Pramod Kanwar, </w:t>
      </w:r>
      <w:r w:rsidR="00591CE1">
        <w:rPr>
          <w:rFonts w:ascii="Times New Roman" w:hAnsi="Times New Roman"/>
          <w:szCs w:val="24"/>
        </w:rPr>
        <w:t xml:space="preserve">Alan Kenny, </w:t>
      </w:r>
      <w:r w:rsidR="00052574">
        <w:rPr>
          <w:rFonts w:ascii="Times New Roman" w:hAnsi="Times New Roman"/>
          <w:szCs w:val="24"/>
        </w:rPr>
        <w:t xml:space="preserve">Bob Klein, </w:t>
      </w:r>
      <w:proofErr w:type="spellStart"/>
      <w:r w:rsidR="007E72D5" w:rsidRPr="002425F8">
        <w:rPr>
          <w:rFonts w:ascii="Times New Roman" w:hAnsi="Times New Roman"/>
          <w:szCs w:val="24"/>
        </w:rPr>
        <w:t>Zaki</w:t>
      </w:r>
      <w:proofErr w:type="spellEnd"/>
      <w:r w:rsidR="007E72D5" w:rsidRPr="002425F8">
        <w:rPr>
          <w:rFonts w:ascii="Times New Roman" w:hAnsi="Times New Roman"/>
          <w:szCs w:val="24"/>
        </w:rPr>
        <w:t xml:space="preserve"> </w:t>
      </w:r>
      <w:proofErr w:type="spellStart"/>
      <w:r w:rsidR="007E72D5" w:rsidRPr="002425F8">
        <w:rPr>
          <w:rFonts w:ascii="Times New Roman" w:hAnsi="Times New Roman"/>
          <w:szCs w:val="24"/>
        </w:rPr>
        <w:t>Kuruppalil</w:t>
      </w:r>
      <w:proofErr w:type="spellEnd"/>
      <w:r w:rsidR="007E72D5" w:rsidRPr="002425F8">
        <w:rPr>
          <w:rFonts w:ascii="Times New Roman" w:hAnsi="Times New Roman"/>
          <w:szCs w:val="24"/>
        </w:rPr>
        <w:t xml:space="preserve">, </w:t>
      </w:r>
      <w:r w:rsidR="00591CE1" w:rsidRPr="002425F8">
        <w:rPr>
          <w:rFonts w:ascii="Times New Roman" w:hAnsi="Times New Roman"/>
          <w:szCs w:val="24"/>
        </w:rPr>
        <w:t>Yang Li</w:t>
      </w:r>
      <w:r w:rsidR="00413C34" w:rsidRPr="002425F8">
        <w:rPr>
          <w:rFonts w:ascii="Times New Roman" w:hAnsi="Times New Roman"/>
          <w:szCs w:val="24"/>
        </w:rPr>
        <w:t xml:space="preserve">, </w:t>
      </w:r>
      <w:r w:rsidR="00591CE1" w:rsidRPr="002425F8">
        <w:rPr>
          <w:rFonts w:ascii="Times New Roman" w:hAnsi="Times New Roman"/>
          <w:szCs w:val="24"/>
        </w:rPr>
        <w:t>Deborah McAvoy</w:t>
      </w:r>
      <w:r w:rsidR="00591CE1">
        <w:rPr>
          <w:rFonts w:ascii="Times New Roman" w:hAnsi="Times New Roman"/>
          <w:szCs w:val="24"/>
        </w:rPr>
        <w:t>,</w:t>
      </w:r>
      <w:r w:rsidR="00591CE1" w:rsidRPr="002425F8">
        <w:rPr>
          <w:rFonts w:ascii="Times New Roman" w:hAnsi="Times New Roman"/>
          <w:szCs w:val="24"/>
        </w:rPr>
        <w:t xml:space="preserve"> </w:t>
      </w:r>
      <w:r w:rsidR="00015C38" w:rsidRPr="002425F8">
        <w:rPr>
          <w:rFonts w:ascii="Times New Roman" w:hAnsi="Times New Roman"/>
          <w:szCs w:val="24"/>
        </w:rPr>
        <w:t>Hannah Nissan</w:t>
      </w:r>
      <w:r w:rsidR="00015C38">
        <w:rPr>
          <w:rFonts w:ascii="Times New Roman" w:hAnsi="Times New Roman"/>
          <w:szCs w:val="24"/>
        </w:rPr>
        <w:t>,</w:t>
      </w:r>
      <w:r w:rsidR="00015C38" w:rsidRPr="002425F8">
        <w:rPr>
          <w:rFonts w:ascii="Times New Roman" w:hAnsi="Times New Roman"/>
          <w:szCs w:val="24"/>
        </w:rPr>
        <w:t xml:space="preserve"> </w:t>
      </w:r>
      <w:r w:rsidR="00320737">
        <w:rPr>
          <w:rFonts w:ascii="Times New Roman" w:hAnsi="Times New Roman"/>
          <w:szCs w:val="24"/>
        </w:rPr>
        <w:t xml:space="preserve">Sean Parsons, </w:t>
      </w:r>
      <w:r w:rsidRPr="002425F8">
        <w:rPr>
          <w:rFonts w:ascii="Times New Roman" w:hAnsi="Times New Roman"/>
          <w:szCs w:val="24"/>
        </w:rPr>
        <w:t>Connie Patterson</w:t>
      </w:r>
      <w:r w:rsidR="00B8709E" w:rsidRPr="002425F8">
        <w:rPr>
          <w:rFonts w:ascii="Times New Roman" w:hAnsi="Times New Roman"/>
          <w:szCs w:val="24"/>
        </w:rPr>
        <w:t xml:space="preserve">, </w:t>
      </w:r>
      <w:proofErr w:type="spellStart"/>
      <w:r w:rsidR="00320737">
        <w:rPr>
          <w:rFonts w:ascii="Times New Roman" w:hAnsi="Times New Roman"/>
          <w:szCs w:val="24"/>
        </w:rPr>
        <w:t>Talinn</w:t>
      </w:r>
      <w:proofErr w:type="spellEnd"/>
      <w:r w:rsidR="00320737">
        <w:rPr>
          <w:rFonts w:ascii="Times New Roman" w:hAnsi="Times New Roman"/>
          <w:szCs w:val="24"/>
        </w:rPr>
        <w:t xml:space="preserve"> Phillips, </w:t>
      </w:r>
      <w:r w:rsidR="00B8709E" w:rsidRPr="002425F8">
        <w:rPr>
          <w:rFonts w:ascii="Times New Roman" w:hAnsi="Times New Roman"/>
          <w:szCs w:val="24"/>
        </w:rPr>
        <w:t xml:space="preserve">Sarah </w:t>
      </w:r>
      <w:proofErr w:type="spellStart"/>
      <w:r w:rsidR="00B8709E" w:rsidRPr="002425F8">
        <w:rPr>
          <w:rFonts w:ascii="Times New Roman" w:hAnsi="Times New Roman"/>
          <w:szCs w:val="24"/>
        </w:rPr>
        <w:t>Poggione</w:t>
      </w:r>
      <w:proofErr w:type="spellEnd"/>
      <w:r w:rsidR="006A4247" w:rsidRPr="002425F8">
        <w:rPr>
          <w:rFonts w:ascii="Times New Roman" w:hAnsi="Times New Roman"/>
          <w:szCs w:val="24"/>
        </w:rPr>
        <w:t xml:space="preserve">, </w:t>
      </w:r>
      <w:r w:rsidR="00792758" w:rsidRPr="002425F8">
        <w:rPr>
          <w:rFonts w:ascii="Times New Roman" w:hAnsi="Times New Roman"/>
          <w:szCs w:val="24"/>
        </w:rPr>
        <w:t xml:space="preserve">Beth </w:t>
      </w:r>
      <w:proofErr w:type="spellStart"/>
      <w:r w:rsidR="00792758" w:rsidRPr="002425F8">
        <w:rPr>
          <w:rFonts w:ascii="Times New Roman" w:hAnsi="Times New Roman"/>
          <w:szCs w:val="24"/>
        </w:rPr>
        <w:t>Quitslund</w:t>
      </w:r>
      <w:proofErr w:type="spellEnd"/>
      <w:r w:rsidR="0055757D" w:rsidRPr="002425F8">
        <w:rPr>
          <w:rFonts w:ascii="Times New Roman" w:hAnsi="Times New Roman"/>
          <w:szCs w:val="24"/>
        </w:rPr>
        <w:t>,</w:t>
      </w:r>
      <w:r w:rsidR="00320737">
        <w:rPr>
          <w:rFonts w:ascii="Times New Roman" w:hAnsi="Times New Roman"/>
          <w:szCs w:val="24"/>
        </w:rPr>
        <w:t xml:space="preserve"> Kate Raney,</w:t>
      </w:r>
      <w:r w:rsidR="00A07847">
        <w:rPr>
          <w:rFonts w:ascii="Times New Roman" w:hAnsi="Times New Roman"/>
          <w:szCs w:val="24"/>
        </w:rPr>
        <w:t xml:space="preserve"> </w:t>
      </w:r>
      <w:proofErr w:type="spellStart"/>
      <w:r w:rsidR="00320737" w:rsidRPr="002425F8">
        <w:rPr>
          <w:rFonts w:ascii="Times New Roman" w:hAnsi="Times New Roman"/>
          <w:szCs w:val="24"/>
        </w:rPr>
        <w:t>Nukhet</w:t>
      </w:r>
      <w:proofErr w:type="spellEnd"/>
      <w:r w:rsidR="00320737" w:rsidRPr="002425F8">
        <w:rPr>
          <w:rFonts w:ascii="Times New Roman" w:hAnsi="Times New Roman"/>
          <w:szCs w:val="24"/>
        </w:rPr>
        <w:t xml:space="preserve"> Sandal</w:t>
      </w:r>
      <w:r w:rsidR="00320737">
        <w:rPr>
          <w:rFonts w:ascii="Times New Roman" w:hAnsi="Times New Roman"/>
          <w:szCs w:val="24"/>
        </w:rPr>
        <w:t xml:space="preserve">, </w:t>
      </w:r>
      <w:r w:rsidR="00A07847">
        <w:rPr>
          <w:rFonts w:ascii="Times New Roman" w:hAnsi="Times New Roman"/>
          <w:szCs w:val="24"/>
        </w:rPr>
        <w:t>Jennifer Smith,</w:t>
      </w:r>
      <w:r w:rsidR="00A07847" w:rsidRPr="00A07847">
        <w:rPr>
          <w:rFonts w:ascii="Times New Roman" w:hAnsi="Times New Roman"/>
          <w:szCs w:val="24"/>
        </w:rPr>
        <w:t xml:space="preserve"> </w:t>
      </w:r>
      <w:proofErr w:type="spellStart"/>
      <w:r w:rsidR="00A6173D" w:rsidRPr="002425F8">
        <w:rPr>
          <w:rFonts w:ascii="Times New Roman" w:hAnsi="Times New Roman"/>
          <w:szCs w:val="24"/>
        </w:rPr>
        <w:t>B</w:t>
      </w:r>
      <w:r w:rsidR="00A6173D" w:rsidRPr="002425F8">
        <w:rPr>
          <w:rFonts w:ascii="Times New Roman" w:hAnsi="Times New Roman"/>
          <w:color w:val="000000"/>
          <w:szCs w:val="24"/>
          <w:shd w:val="clear" w:color="auto" w:fill="FFFFFF"/>
        </w:rPr>
        <w:t>ä</w:t>
      </w:r>
      <w:r w:rsidR="00A6173D" w:rsidRPr="002425F8">
        <w:rPr>
          <w:rFonts w:ascii="Times New Roman" w:hAnsi="Times New Roman"/>
          <w:szCs w:val="24"/>
        </w:rPr>
        <w:t>rbel</w:t>
      </w:r>
      <w:proofErr w:type="spellEnd"/>
      <w:r w:rsidR="00A6173D" w:rsidRPr="002425F8">
        <w:rPr>
          <w:rFonts w:ascii="Times New Roman" w:hAnsi="Times New Roman"/>
          <w:szCs w:val="24"/>
        </w:rPr>
        <w:t xml:space="preserve"> Such</w:t>
      </w:r>
      <w:r w:rsidR="00A6173D">
        <w:rPr>
          <w:rFonts w:ascii="Times New Roman" w:hAnsi="Times New Roman"/>
          <w:szCs w:val="24"/>
        </w:rPr>
        <w:t>,</w:t>
      </w:r>
      <w:r w:rsidR="00A6173D" w:rsidRPr="002425F8">
        <w:rPr>
          <w:rFonts w:ascii="Times New Roman" w:hAnsi="Times New Roman"/>
          <w:szCs w:val="24"/>
        </w:rPr>
        <w:t xml:space="preserve"> </w:t>
      </w:r>
      <w:proofErr w:type="spellStart"/>
      <w:r w:rsidR="00792758" w:rsidRPr="002425F8">
        <w:rPr>
          <w:rFonts w:ascii="Times New Roman" w:hAnsi="Times New Roman"/>
          <w:szCs w:val="24"/>
        </w:rPr>
        <w:t>Loralyn</w:t>
      </w:r>
      <w:proofErr w:type="spellEnd"/>
      <w:r w:rsidR="00792758" w:rsidRPr="002425F8">
        <w:rPr>
          <w:rFonts w:ascii="Times New Roman" w:hAnsi="Times New Roman"/>
          <w:szCs w:val="24"/>
        </w:rPr>
        <w:t xml:space="preserve"> Taylor</w:t>
      </w:r>
      <w:r w:rsidR="00EA7C21" w:rsidRPr="002425F8">
        <w:rPr>
          <w:rFonts w:ascii="Times New Roman" w:hAnsi="Times New Roman"/>
          <w:szCs w:val="24"/>
        </w:rPr>
        <w:t>,</w:t>
      </w:r>
      <w:r w:rsidR="0055757D" w:rsidRPr="002425F8">
        <w:rPr>
          <w:rFonts w:ascii="Times New Roman" w:hAnsi="Times New Roman"/>
          <w:szCs w:val="24"/>
        </w:rPr>
        <w:t xml:space="preserve"> Edna </w:t>
      </w:r>
      <w:proofErr w:type="spellStart"/>
      <w:r w:rsidR="0055757D" w:rsidRPr="002425F8">
        <w:rPr>
          <w:rFonts w:ascii="Times New Roman" w:hAnsi="Times New Roman"/>
          <w:szCs w:val="24"/>
        </w:rPr>
        <w:t>Wangui</w:t>
      </w:r>
      <w:proofErr w:type="spellEnd"/>
      <w:r w:rsidR="0055757D" w:rsidRPr="002425F8">
        <w:rPr>
          <w:rFonts w:ascii="Times New Roman" w:hAnsi="Times New Roman"/>
          <w:szCs w:val="24"/>
        </w:rPr>
        <w:t>,</w:t>
      </w:r>
      <w:r w:rsidR="00320737">
        <w:rPr>
          <w:rFonts w:ascii="Times New Roman" w:hAnsi="Times New Roman"/>
          <w:szCs w:val="24"/>
        </w:rPr>
        <w:t xml:space="preserve"> Sarah Webb,</w:t>
      </w:r>
      <w:r w:rsidR="00637215" w:rsidRPr="002425F8">
        <w:rPr>
          <w:rFonts w:ascii="Times New Roman" w:hAnsi="Times New Roman"/>
          <w:szCs w:val="24"/>
        </w:rPr>
        <w:t xml:space="preserve"> </w:t>
      </w:r>
      <w:proofErr w:type="spellStart"/>
      <w:r w:rsidR="00EA7C21" w:rsidRPr="002425F8">
        <w:rPr>
          <w:rFonts w:ascii="Times New Roman" w:hAnsi="Times New Roman"/>
          <w:szCs w:val="24"/>
        </w:rPr>
        <w:t>Lijing</w:t>
      </w:r>
      <w:proofErr w:type="spellEnd"/>
      <w:r w:rsidR="00EA7C21" w:rsidRPr="002425F8">
        <w:rPr>
          <w:rFonts w:ascii="Times New Roman" w:hAnsi="Times New Roman"/>
          <w:szCs w:val="24"/>
        </w:rPr>
        <w:t xml:space="preserve"> Yang</w:t>
      </w:r>
      <w:r w:rsidR="00F10DA2">
        <w:rPr>
          <w:rFonts w:ascii="Times New Roman" w:hAnsi="Times New Roman"/>
          <w:szCs w:val="24"/>
        </w:rPr>
        <w:t xml:space="preserve">, </w:t>
      </w:r>
      <w:proofErr w:type="spellStart"/>
      <w:r w:rsidR="00320737">
        <w:rPr>
          <w:rFonts w:ascii="Times New Roman" w:hAnsi="Times New Roman"/>
          <w:szCs w:val="24"/>
        </w:rPr>
        <w:t>Yuqiu</w:t>
      </w:r>
      <w:proofErr w:type="spellEnd"/>
      <w:r w:rsidR="00320737">
        <w:rPr>
          <w:rFonts w:ascii="Times New Roman" w:hAnsi="Times New Roman"/>
          <w:szCs w:val="24"/>
        </w:rPr>
        <w:t xml:space="preserve"> You</w:t>
      </w:r>
    </w:p>
    <w:p w14:paraId="132781DB" w14:textId="6DAD6D32" w:rsidR="002B1E2F" w:rsidRPr="002425F8" w:rsidRDefault="002B1E2F" w:rsidP="00111455">
      <w:pPr>
        <w:tabs>
          <w:tab w:val="left" w:pos="7440"/>
        </w:tabs>
        <w:outlineLvl w:val="0"/>
        <w:rPr>
          <w:rFonts w:ascii="Times New Roman" w:hAnsi="Times New Roman"/>
          <w:szCs w:val="24"/>
        </w:rPr>
      </w:pPr>
    </w:p>
    <w:p w14:paraId="314311AC" w14:textId="05079625"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A75AD6">
        <w:rPr>
          <w:rFonts w:ascii="Times New Roman" w:hAnsi="Times New Roman"/>
          <w:szCs w:val="24"/>
        </w:rPr>
        <w:t xml:space="preserve"> </w:t>
      </w:r>
      <w:r w:rsidR="00A75AD6" w:rsidRPr="002425F8">
        <w:rPr>
          <w:rFonts w:ascii="Times New Roman" w:hAnsi="Times New Roman"/>
          <w:szCs w:val="24"/>
        </w:rPr>
        <w:t>Gordon Brooks</w:t>
      </w:r>
      <w:r w:rsidR="00591CE1">
        <w:rPr>
          <w:rFonts w:ascii="Times New Roman" w:hAnsi="Times New Roman"/>
          <w:szCs w:val="24"/>
        </w:rPr>
        <w:t xml:space="preserve">, </w:t>
      </w:r>
      <w:r w:rsidR="00591CE1" w:rsidRPr="002425F8">
        <w:rPr>
          <w:rFonts w:ascii="Times New Roman" w:hAnsi="Times New Roman"/>
          <w:szCs w:val="24"/>
        </w:rPr>
        <w:t xml:space="preserve">Sally </w:t>
      </w:r>
      <w:proofErr w:type="spellStart"/>
      <w:r w:rsidR="00591CE1" w:rsidRPr="002425F8">
        <w:rPr>
          <w:rFonts w:ascii="Times New Roman" w:hAnsi="Times New Roman"/>
          <w:szCs w:val="24"/>
        </w:rPr>
        <w:t>Marinellie</w:t>
      </w:r>
      <w:proofErr w:type="spellEnd"/>
      <w:r w:rsidR="00A6173D">
        <w:rPr>
          <w:rFonts w:ascii="Times New Roman" w:hAnsi="Times New Roman"/>
          <w:szCs w:val="24"/>
        </w:rPr>
        <w:t xml:space="preserve">, </w:t>
      </w:r>
      <w:r w:rsidR="00015C38" w:rsidRPr="002425F8">
        <w:rPr>
          <w:rFonts w:ascii="Times New Roman" w:hAnsi="Times New Roman"/>
          <w:szCs w:val="24"/>
        </w:rPr>
        <w:t>Jim McKean</w:t>
      </w:r>
      <w:r w:rsidR="00015C38">
        <w:rPr>
          <w:rFonts w:ascii="Times New Roman" w:hAnsi="Times New Roman"/>
          <w:szCs w:val="24"/>
        </w:rPr>
        <w:t>,</w:t>
      </w:r>
      <w:r w:rsidR="00591CE1" w:rsidRPr="00591CE1">
        <w:rPr>
          <w:rFonts w:ascii="Times New Roman" w:hAnsi="Times New Roman"/>
          <w:szCs w:val="24"/>
        </w:rPr>
        <w:t xml:space="preserve"> </w:t>
      </w:r>
      <w:r w:rsidR="00591CE1" w:rsidRPr="002425F8">
        <w:rPr>
          <w:rFonts w:ascii="Times New Roman" w:hAnsi="Times New Roman"/>
          <w:szCs w:val="24"/>
        </w:rPr>
        <w:t>Beth Novak</w:t>
      </w:r>
      <w:r w:rsidR="00591CE1">
        <w:rPr>
          <w:rFonts w:ascii="Times New Roman" w:hAnsi="Times New Roman"/>
          <w:szCs w:val="24"/>
        </w:rPr>
        <w:t>,</w:t>
      </w:r>
      <w:r w:rsidR="00015C38" w:rsidRPr="002425F8">
        <w:rPr>
          <w:rFonts w:ascii="Times New Roman" w:hAnsi="Times New Roman"/>
          <w:szCs w:val="24"/>
        </w:rPr>
        <w:t xml:space="preserve"> </w:t>
      </w:r>
      <w:r w:rsidR="00320737">
        <w:rPr>
          <w:rFonts w:ascii="Times New Roman" w:hAnsi="Times New Roman"/>
          <w:szCs w:val="24"/>
        </w:rPr>
        <w:t>Tracy Pritchard</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4ACDEB58"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Pr="002425F8">
        <w:rPr>
          <w:rFonts w:ascii="Times New Roman" w:hAnsi="Times New Roman"/>
          <w:szCs w:val="24"/>
        </w:rPr>
        <w:t xml:space="preserve"> </w:t>
      </w:r>
      <w:r w:rsidR="00591CE1">
        <w:rPr>
          <w:rFonts w:ascii="Times New Roman" w:hAnsi="Times New Roman"/>
          <w:szCs w:val="24"/>
        </w:rPr>
        <w:t>Molly Johnson</w:t>
      </w:r>
      <w:r w:rsidR="00591CE1">
        <w:rPr>
          <w:rFonts w:ascii="Times New Roman" w:hAnsi="Times New Roman"/>
          <w:szCs w:val="24"/>
        </w:rPr>
        <w:t>, Jennie Klein</w:t>
      </w:r>
      <w:r w:rsidR="00320737">
        <w:rPr>
          <w:rFonts w:ascii="Times New Roman" w:hAnsi="Times New Roman"/>
          <w:szCs w:val="24"/>
        </w:rPr>
        <w:t xml:space="preserve">, Guy </w:t>
      </w:r>
      <w:proofErr w:type="spellStart"/>
      <w:r w:rsidR="00320737">
        <w:rPr>
          <w:rFonts w:ascii="Times New Roman" w:hAnsi="Times New Roman"/>
          <w:szCs w:val="24"/>
        </w:rPr>
        <w:t>Riefler</w:t>
      </w:r>
      <w:proofErr w:type="spellEnd"/>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529CC006"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320737">
        <w:rPr>
          <w:rFonts w:ascii="Times New Roman" w:hAnsi="Times New Roman"/>
          <w:szCs w:val="24"/>
        </w:rPr>
        <w:t xml:space="preserve">Deb Benton, Bob DeLong, Katie Hartman, </w:t>
      </w:r>
      <w:proofErr w:type="spellStart"/>
      <w:r w:rsidR="00320737">
        <w:rPr>
          <w:rFonts w:ascii="Times New Roman" w:hAnsi="Times New Roman"/>
          <w:szCs w:val="24"/>
        </w:rPr>
        <w:t>Baatar</w:t>
      </w:r>
      <w:proofErr w:type="spellEnd"/>
      <w:r w:rsidR="00320737">
        <w:rPr>
          <w:rFonts w:ascii="Times New Roman" w:hAnsi="Times New Roman"/>
          <w:szCs w:val="24"/>
        </w:rPr>
        <w:t xml:space="preserve"> </w:t>
      </w:r>
      <w:proofErr w:type="spellStart"/>
      <w:r w:rsidR="00320737">
        <w:rPr>
          <w:rFonts w:ascii="Times New Roman" w:hAnsi="Times New Roman"/>
          <w:szCs w:val="24"/>
        </w:rPr>
        <w:t>Sodnompel</w:t>
      </w:r>
      <w:proofErr w:type="spellEnd"/>
      <w:r w:rsidR="00320737">
        <w:rPr>
          <w:rFonts w:ascii="Times New Roman" w:hAnsi="Times New Roman"/>
          <w:szCs w:val="24"/>
        </w:rPr>
        <w:t>, Nicole Williamson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0DD8EBF3"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2B1E2F" w:rsidRPr="002425F8">
        <w:rPr>
          <w:rFonts w:ascii="Times New Roman" w:hAnsi="Times New Roman"/>
          <w:szCs w:val="24"/>
        </w:rPr>
        <w:t>Benjamin Bates</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26B97318" w:rsidR="00111455" w:rsidRPr="002425F8"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E31877">
        <w:rPr>
          <w:rFonts w:ascii="Times New Roman" w:hAnsi="Times New Roman"/>
          <w:szCs w:val="24"/>
        </w:rPr>
        <w:t>May 11</w:t>
      </w:r>
      <w:r w:rsidR="00A77A58" w:rsidRPr="002425F8">
        <w:rPr>
          <w:rFonts w:ascii="Times New Roman" w:hAnsi="Times New Roman"/>
          <w:szCs w:val="24"/>
        </w:rPr>
        <w:t>, 20</w:t>
      </w:r>
      <w:r w:rsidR="009E0150" w:rsidRPr="002425F8">
        <w:rPr>
          <w:rFonts w:ascii="Times New Roman" w:hAnsi="Times New Roman"/>
          <w:szCs w:val="24"/>
        </w:rPr>
        <w:t>2</w:t>
      </w:r>
      <w:r w:rsidR="00AB5266" w:rsidRPr="002425F8">
        <w:rPr>
          <w:rFonts w:ascii="Times New Roman" w:hAnsi="Times New Roman"/>
          <w:szCs w:val="24"/>
        </w:rPr>
        <w:t>1</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04586FD1" w14:textId="77777777" w:rsidR="00111455" w:rsidRPr="002425F8" w:rsidRDefault="00111455" w:rsidP="00111455">
      <w:pPr>
        <w:tabs>
          <w:tab w:val="left" w:pos="7440"/>
        </w:tabs>
        <w:outlineLvl w:val="0"/>
        <w:rPr>
          <w:rFonts w:ascii="Times New Roman" w:hAnsi="Times New Roman"/>
          <w:szCs w:val="24"/>
        </w:rPr>
      </w:pPr>
    </w:p>
    <w:p w14:paraId="6B458D09" w14:textId="0A7B5374" w:rsidR="003C7FEC" w:rsidRPr="002425F8" w:rsidRDefault="003C7FEC" w:rsidP="003C7FEC">
      <w:pPr>
        <w:outlineLvl w:val="0"/>
        <w:rPr>
          <w:rFonts w:ascii="Times New Roman" w:hAnsi="Times New Roman"/>
          <w:szCs w:val="24"/>
        </w:rPr>
      </w:pPr>
      <w:r w:rsidRPr="002425F8">
        <w:rPr>
          <w:rFonts w:ascii="Times New Roman" w:hAnsi="Times New Roman"/>
          <w:b/>
          <w:bCs/>
          <w:szCs w:val="24"/>
        </w:rPr>
        <w:t xml:space="preserve">Associate Provost for Faculty </w:t>
      </w:r>
      <w:r w:rsidR="00D60A9F">
        <w:rPr>
          <w:rFonts w:ascii="Times New Roman" w:hAnsi="Times New Roman"/>
          <w:b/>
          <w:bCs/>
          <w:szCs w:val="24"/>
        </w:rPr>
        <w:t>Development</w:t>
      </w:r>
      <w:r w:rsidRPr="002425F8">
        <w:rPr>
          <w:rFonts w:ascii="Times New Roman" w:hAnsi="Times New Roman"/>
          <w:b/>
          <w:bCs/>
          <w:szCs w:val="24"/>
        </w:rPr>
        <w:t>:</w:t>
      </w:r>
      <w:r w:rsidRPr="002425F8">
        <w:rPr>
          <w:rFonts w:ascii="Times New Roman" w:hAnsi="Times New Roman"/>
          <w:szCs w:val="24"/>
        </w:rPr>
        <w:t xml:space="preserve"> </w:t>
      </w:r>
      <w:r w:rsidR="00D175D1">
        <w:rPr>
          <w:rFonts w:ascii="Times New Roman" w:hAnsi="Times New Roman"/>
          <w:szCs w:val="24"/>
        </w:rPr>
        <w:t>Katie Hartman</w:t>
      </w:r>
    </w:p>
    <w:p w14:paraId="255F4E27" w14:textId="04F3DC90" w:rsidR="000B457A" w:rsidRDefault="00665987" w:rsidP="0076398B">
      <w:pPr>
        <w:numPr>
          <w:ilvl w:val="0"/>
          <w:numId w:val="2"/>
        </w:numPr>
        <w:outlineLvl w:val="0"/>
        <w:rPr>
          <w:rFonts w:ascii="Times New Roman" w:hAnsi="Times New Roman"/>
          <w:bCs/>
          <w:szCs w:val="24"/>
        </w:rPr>
      </w:pPr>
      <w:r>
        <w:rPr>
          <w:rFonts w:ascii="Times New Roman" w:hAnsi="Times New Roman"/>
          <w:bCs/>
          <w:szCs w:val="24"/>
        </w:rPr>
        <w:t xml:space="preserve">Congratulations to Sarah </w:t>
      </w:r>
      <w:proofErr w:type="spellStart"/>
      <w:r>
        <w:rPr>
          <w:rFonts w:ascii="Times New Roman" w:hAnsi="Times New Roman"/>
          <w:bCs/>
          <w:szCs w:val="24"/>
        </w:rPr>
        <w:t>Poggione</w:t>
      </w:r>
      <w:proofErr w:type="spellEnd"/>
      <w:r>
        <w:rPr>
          <w:rFonts w:ascii="Times New Roman" w:hAnsi="Times New Roman"/>
          <w:bCs/>
          <w:szCs w:val="24"/>
        </w:rPr>
        <w:t xml:space="preserve"> for being selected as the academic counterpart to Hartman’s position, Vice Provost for Undergraduate Education. </w:t>
      </w:r>
    </w:p>
    <w:p w14:paraId="1A61228F" w14:textId="7DDC5C3C" w:rsidR="00DD3453" w:rsidRDefault="00DD3453" w:rsidP="0076398B">
      <w:pPr>
        <w:numPr>
          <w:ilvl w:val="1"/>
          <w:numId w:val="2"/>
        </w:numPr>
        <w:outlineLvl w:val="0"/>
        <w:rPr>
          <w:rFonts w:ascii="Times New Roman" w:hAnsi="Times New Roman"/>
          <w:bCs/>
          <w:szCs w:val="24"/>
        </w:rPr>
      </w:pPr>
      <w:r>
        <w:rPr>
          <w:rFonts w:ascii="Times New Roman" w:hAnsi="Times New Roman"/>
          <w:bCs/>
          <w:szCs w:val="24"/>
        </w:rPr>
        <w:t xml:space="preserve">The </w:t>
      </w:r>
      <w:r>
        <w:rPr>
          <w:rFonts w:ascii="Times New Roman" w:hAnsi="Times New Roman"/>
          <w:bCs/>
          <w:szCs w:val="24"/>
        </w:rPr>
        <w:t>Vice Provost for Undergraduate Education</w:t>
      </w:r>
      <w:r>
        <w:rPr>
          <w:rFonts w:ascii="Times New Roman" w:hAnsi="Times New Roman"/>
          <w:bCs/>
          <w:szCs w:val="24"/>
        </w:rPr>
        <w:t xml:space="preserve"> serves as a member of the Executive Provost’s senior staff and supports the undergraduate experience across campuses. The Vice Provost assists colleges with strategic program offerings and outcomes by helping faculty develop, evaluate, and assess programs and by partnering with colleagues across the university to support student success initiatives to improve retention</w:t>
      </w:r>
      <w:r w:rsidR="001B7D62">
        <w:rPr>
          <w:rFonts w:ascii="Times New Roman" w:hAnsi="Times New Roman"/>
          <w:bCs/>
          <w:szCs w:val="24"/>
        </w:rPr>
        <w:t xml:space="preserve">, resistance, and graduation rates with an emphasis on equitable outcomes. </w:t>
      </w:r>
    </w:p>
    <w:p w14:paraId="09CB58FE" w14:textId="527914E8" w:rsidR="001B7D62" w:rsidRDefault="001B7D62" w:rsidP="0076398B">
      <w:pPr>
        <w:numPr>
          <w:ilvl w:val="1"/>
          <w:numId w:val="2"/>
        </w:numPr>
        <w:outlineLvl w:val="0"/>
        <w:rPr>
          <w:rFonts w:ascii="Times New Roman" w:hAnsi="Times New Roman"/>
          <w:bCs/>
          <w:szCs w:val="24"/>
        </w:rPr>
      </w:pPr>
      <w:r>
        <w:rPr>
          <w:rFonts w:ascii="Times New Roman" w:hAnsi="Times New Roman"/>
          <w:bCs/>
          <w:szCs w:val="24"/>
        </w:rPr>
        <w:t>As a member of UCC, she will assist the Provost’s office in that role.</w:t>
      </w:r>
    </w:p>
    <w:p w14:paraId="0A23E2CC" w14:textId="5C1B93D5" w:rsidR="001B7D62" w:rsidRDefault="001B7D62" w:rsidP="0076398B">
      <w:pPr>
        <w:numPr>
          <w:ilvl w:val="1"/>
          <w:numId w:val="2"/>
        </w:numPr>
        <w:outlineLvl w:val="0"/>
        <w:rPr>
          <w:rFonts w:ascii="Times New Roman" w:hAnsi="Times New Roman"/>
          <w:bCs/>
          <w:szCs w:val="24"/>
        </w:rPr>
      </w:pPr>
      <w:proofErr w:type="spellStart"/>
      <w:r>
        <w:rPr>
          <w:rFonts w:ascii="Times New Roman" w:hAnsi="Times New Roman"/>
          <w:bCs/>
          <w:szCs w:val="24"/>
        </w:rPr>
        <w:t>Poggione</w:t>
      </w:r>
      <w:proofErr w:type="spellEnd"/>
      <w:r>
        <w:rPr>
          <w:rFonts w:ascii="Times New Roman" w:hAnsi="Times New Roman"/>
          <w:bCs/>
          <w:szCs w:val="24"/>
        </w:rPr>
        <w:t xml:space="preserve"> will formally take over the position at the end of this academic year. She will be transitioning into some roles this fall and spring. </w:t>
      </w:r>
    </w:p>
    <w:p w14:paraId="0944EF64" w14:textId="77777777" w:rsidR="001B7D62" w:rsidRDefault="001B7D62" w:rsidP="0076398B">
      <w:pPr>
        <w:numPr>
          <w:ilvl w:val="0"/>
          <w:numId w:val="2"/>
        </w:numPr>
        <w:outlineLvl w:val="0"/>
        <w:rPr>
          <w:rFonts w:ascii="Times New Roman" w:hAnsi="Times New Roman"/>
          <w:bCs/>
          <w:szCs w:val="24"/>
        </w:rPr>
      </w:pPr>
      <w:r>
        <w:rPr>
          <w:rFonts w:ascii="Times New Roman" w:hAnsi="Times New Roman"/>
          <w:bCs/>
          <w:szCs w:val="24"/>
        </w:rPr>
        <w:t xml:space="preserve">The Provost has asked Bob Klein and Deb McAvoy to serve an additional year as faculty Provost Fellows. They will represent the Provost’s office at UCC meetings. </w:t>
      </w:r>
    </w:p>
    <w:p w14:paraId="29032C85" w14:textId="1BF5AAC7" w:rsidR="001B7D62" w:rsidRDefault="001B7D62" w:rsidP="0076398B">
      <w:pPr>
        <w:numPr>
          <w:ilvl w:val="1"/>
          <w:numId w:val="2"/>
        </w:numPr>
        <w:outlineLvl w:val="0"/>
        <w:rPr>
          <w:rFonts w:ascii="Times New Roman" w:hAnsi="Times New Roman"/>
          <w:bCs/>
          <w:szCs w:val="24"/>
        </w:rPr>
      </w:pPr>
      <w:r>
        <w:rPr>
          <w:rFonts w:ascii="Times New Roman" w:hAnsi="Times New Roman"/>
          <w:bCs/>
          <w:szCs w:val="24"/>
        </w:rPr>
        <w:t xml:space="preserve">Klein has agreed to serve as the university liaison </w:t>
      </w:r>
      <w:r w:rsidR="00887FEB">
        <w:rPr>
          <w:rFonts w:ascii="Times New Roman" w:hAnsi="Times New Roman"/>
          <w:bCs/>
          <w:szCs w:val="24"/>
        </w:rPr>
        <w:t xml:space="preserve">with the Ohio Department of Higher Education and update UCC members on state initiatives. </w:t>
      </w:r>
    </w:p>
    <w:p w14:paraId="3AA54F1D" w14:textId="61A80EA0" w:rsidR="00887FEB" w:rsidRDefault="00887FEB" w:rsidP="0076398B">
      <w:pPr>
        <w:numPr>
          <w:ilvl w:val="1"/>
          <w:numId w:val="2"/>
        </w:numPr>
        <w:outlineLvl w:val="0"/>
        <w:rPr>
          <w:rFonts w:ascii="Times New Roman" w:hAnsi="Times New Roman"/>
          <w:bCs/>
          <w:szCs w:val="24"/>
        </w:rPr>
      </w:pPr>
      <w:r>
        <w:rPr>
          <w:rFonts w:ascii="Times New Roman" w:hAnsi="Times New Roman"/>
          <w:bCs/>
          <w:szCs w:val="24"/>
        </w:rPr>
        <w:t xml:space="preserve">McAvoy will be working with the Programs Committee to discuss opportunities in aligning our internal approval process with the Ohio Department of Higher Education’s HLC processes. McAvoy will also assist with ensuring name changes, new programs, and other program actions that are presented to and approved by the Board of Trustees. </w:t>
      </w:r>
    </w:p>
    <w:p w14:paraId="0745FA61" w14:textId="77777777" w:rsidR="00852C80" w:rsidRDefault="00852C80" w:rsidP="00852C80">
      <w:pPr>
        <w:ind w:left="1440"/>
        <w:outlineLvl w:val="0"/>
        <w:rPr>
          <w:rFonts w:ascii="Times New Roman" w:hAnsi="Times New Roman"/>
          <w:bCs/>
          <w:szCs w:val="24"/>
        </w:rPr>
      </w:pPr>
    </w:p>
    <w:p w14:paraId="5D7E8148" w14:textId="77777777" w:rsidR="00F3656C" w:rsidRPr="002425F8" w:rsidRDefault="00F3656C" w:rsidP="00F3656C">
      <w:pPr>
        <w:ind w:left="720"/>
        <w:outlineLvl w:val="0"/>
        <w:rPr>
          <w:rFonts w:ascii="Times New Roman" w:hAnsi="Times New Roman"/>
          <w:bCs/>
          <w:szCs w:val="24"/>
        </w:rPr>
      </w:pPr>
    </w:p>
    <w:p w14:paraId="2072AD68" w14:textId="77777777" w:rsidR="000B457A" w:rsidRPr="002425F8" w:rsidRDefault="000B457A" w:rsidP="000B457A">
      <w:pPr>
        <w:outlineLvl w:val="0"/>
        <w:rPr>
          <w:rFonts w:ascii="Times New Roman" w:hAnsi="Times New Roman"/>
          <w:b/>
          <w:szCs w:val="24"/>
        </w:rPr>
      </w:pPr>
    </w:p>
    <w:p w14:paraId="488241DF" w14:textId="33242C2C" w:rsidR="00111455" w:rsidRPr="002425F8" w:rsidRDefault="00111455" w:rsidP="00111455">
      <w:pPr>
        <w:outlineLvl w:val="0"/>
        <w:rPr>
          <w:rFonts w:ascii="Times New Roman" w:hAnsi="Times New Roman"/>
          <w:szCs w:val="24"/>
        </w:rPr>
      </w:pPr>
      <w:r w:rsidRPr="002425F8">
        <w:rPr>
          <w:rFonts w:ascii="Times New Roman" w:hAnsi="Times New Roman"/>
          <w:b/>
          <w:szCs w:val="24"/>
        </w:rPr>
        <w:lastRenderedPageBreak/>
        <w:t>Program Committee Report</w:t>
      </w:r>
      <w:r w:rsidRPr="002425F8">
        <w:rPr>
          <w:rFonts w:ascii="Times New Roman" w:hAnsi="Times New Roman"/>
          <w:szCs w:val="24"/>
        </w:rPr>
        <w:t>: Connie Patterson, Chair</w:t>
      </w:r>
    </w:p>
    <w:p w14:paraId="7D7EE2B5" w14:textId="77777777" w:rsidR="00852C80" w:rsidRPr="00852C80" w:rsidRDefault="00852C80" w:rsidP="00852C80">
      <w:pPr>
        <w:pStyle w:val="PlainText"/>
        <w:rPr>
          <w:rFonts w:ascii="Times New Roman" w:hAnsi="Times New Roman"/>
          <w:b/>
          <w:sz w:val="24"/>
          <w:szCs w:val="24"/>
        </w:rPr>
      </w:pPr>
    </w:p>
    <w:p w14:paraId="07CC3F94" w14:textId="77777777" w:rsidR="00852C80" w:rsidRPr="00852C80" w:rsidRDefault="00852C80" w:rsidP="00852C80">
      <w:pPr>
        <w:pStyle w:val="Default"/>
        <w:rPr>
          <w:b/>
          <w:bCs/>
          <w:color w:val="auto"/>
        </w:rPr>
      </w:pPr>
      <w:r w:rsidRPr="00852C80">
        <w:rPr>
          <w:b/>
          <w:bCs/>
          <w:color w:val="auto"/>
        </w:rPr>
        <w:t>PROGRAM CHANGES</w:t>
      </w:r>
    </w:p>
    <w:p w14:paraId="41AFD420" w14:textId="0E48BF94" w:rsidR="00852C80" w:rsidRPr="00852C80" w:rsidRDefault="00852C80" w:rsidP="0076398B">
      <w:pPr>
        <w:pStyle w:val="Default"/>
        <w:widowControl w:val="0"/>
        <w:numPr>
          <w:ilvl w:val="0"/>
          <w:numId w:val="5"/>
        </w:numPr>
        <w:rPr>
          <w:b/>
          <w:bCs/>
          <w:color w:val="auto"/>
        </w:rPr>
      </w:pPr>
      <w:r w:rsidRPr="00852C80">
        <w:rPr>
          <w:b/>
          <w:bCs/>
          <w:color w:val="auto"/>
        </w:rPr>
        <w:t>Patton College of Education</w:t>
      </w:r>
      <w:r>
        <w:rPr>
          <w:b/>
          <w:bCs/>
          <w:color w:val="auto"/>
        </w:rPr>
        <w:t xml:space="preserve"> (Approved)</w:t>
      </w:r>
    </w:p>
    <w:p w14:paraId="1169B4C8" w14:textId="77777777" w:rsidR="00852C80" w:rsidRPr="00852C80" w:rsidRDefault="00852C80" w:rsidP="00852C80">
      <w:pPr>
        <w:pStyle w:val="Default"/>
        <w:rPr>
          <w:color w:val="auto"/>
        </w:rPr>
      </w:pPr>
      <w:r w:rsidRPr="00852C80">
        <w:rPr>
          <w:color w:val="auto"/>
        </w:rPr>
        <w:t>Program Code: ME6866</w:t>
      </w:r>
    </w:p>
    <w:p w14:paraId="1F491860" w14:textId="77777777" w:rsidR="00852C80" w:rsidRPr="00852C80" w:rsidRDefault="00852C80" w:rsidP="00852C80">
      <w:pPr>
        <w:pStyle w:val="Default"/>
        <w:rPr>
          <w:color w:val="auto"/>
        </w:rPr>
      </w:pPr>
      <w:r w:rsidRPr="00852C80">
        <w:rPr>
          <w:color w:val="auto"/>
        </w:rPr>
        <w:t xml:space="preserve">Program Name: Integrative Language Arts </w:t>
      </w:r>
    </w:p>
    <w:p w14:paraId="5238EBCC" w14:textId="77777777" w:rsidR="00852C80" w:rsidRPr="00852C80" w:rsidRDefault="00852C80" w:rsidP="00852C80">
      <w:pPr>
        <w:pStyle w:val="Default"/>
        <w:rPr>
          <w:color w:val="auto"/>
        </w:rPr>
      </w:pPr>
      <w:r w:rsidRPr="00852C80">
        <w:rPr>
          <w:color w:val="auto"/>
        </w:rPr>
        <w:t xml:space="preserve">Department/School: Teacher Education </w:t>
      </w:r>
    </w:p>
    <w:p w14:paraId="6CBAD18A" w14:textId="77777777" w:rsidR="00852C80" w:rsidRPr="00852C80" w:rsidRDefault="00852C80" w:rsidP="00852C80">
      <w:pPr>
        <w:pStyle w:val="Default"/>
        <w:rPr>
          <w:color w:val="auto"/>
        </w:rPr>
      </w:pPr>
      <w:r w:rsidRPr="00852C80">
        <w:rPr>
          <w:color w:val="auto"/>
        </w:rPr>
        <w:t>Contact: Matt Felton-Koestler</w:t>
      </w:r>
    </w:p>
    <w:p w14:paraId="56059291" w14:textId="77777777" w:rsidR="00852C80" w:rsidRPr="00852C80" w:rsidRDefault="00852C80" w:rsidP="00852C80">
      <w:pPr>
        <w:pStyle w:val="Default"/>
        <w:rPr>
          <w:color w:val="auto"/>
        </w:rPr>
      </w:pPr>
    </w:p>
    <w:p w14:paraId="2ED4B332"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We are eliminating two 1-credit field courses because they will no longer be offered through ENG and because the students already have ample field hours through the college of education. Students only take one of these, so this lowers the overall credits from 46 to 45: </w:t>
      </w:r>
    </w:p>
    <w:p w14:paraId="30EB5BEF"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 ENG 5911 Field </w:t>
      </w:r>
      <w:proofErr w:type="spellStart"/>
      <w:r w:rsidRPr="00852C80">
        <w:rPr>
          <w:rFonts w:ascii="Times New Roman" w:hAnsi="Times New Roman"/>
          <w:szCs w:val="24"/>
        </w:rPr>
        <w:t>Experiencei</w:t>
      </w:r>
      <w:proofErr w:type="spellEnd"/>
      <w:r w:rsidRPr="00852C80">
        <w:rPr>
          <w:rFonts w:ascii="Times New Roman" w:hAnsi="Times New Roman"/>
          <w:szCs w:val="24"/>
        </w:rPr>
        <w:t xml:space="preserve"> n Secondary English/Language Composition </w:t>
      </w:r>
    </w:p>
    <w:p w14:paraId="5032A056" w14:textId="77777777" w:rsidR="00852C80" w:rsidRPr="00852C80" w:rsidRDefault="00852C80" w:rsidP="00852C80">
      <w:pPr>
        <w:rPr>
          <w:rFonts w:ascii="Times New Roman" w:hAnsi="Times New Roman"/>
          <w:szCs w:val="24"/>
        </w:rPr>
      </w:pPr>
      <w:r w:rsidRPr="00852C80">
        <w:rPr>
          <w:rFonts w:ascii="Times New Roman" w:hAnsi="Times New Roman"/>
          <w:szCs w:val="24"/>
        </w:rPr>
        <w:t>• ENG 5912 Field Experience in Secondary English/Literature</w:t>
      </w:r>
    </w:p>
    <w:p w14:paraId="413DEC24" w14:textId="77777777" w:rsidR="00852C80" w:rsidRPr="00852C80" w:rsidRDefault="00852C80" w:rsidP="00852C80">
      <w:pPr>
        <w:pStyle w:val="Default"/>
        <w:rPr>
          <w:color w:val="auto"/>
        </w:rPr>
      </w:pPr>
    </w:p>
    <w:p w14:paraId="7F99064D" w14:textId="77777777" w:rsidR="00852C80" w:rsidRPr="00852C80" w:rsidRDefault="00852C80" w:rsidP="00852C80">
      <w:pPr>
        <w:rPr>
          <w:rFonts w:ascii="Times New Roman" w:hAnsi="Times New Roman"/>
          <w:szCs w:val="24"/>
        </w:rPr>
      </w:pPr>
      <w:r w:rsidRPr="00852C80">
        <w:rPr>
          <w:rFonts w:ascii="Times New Roman" w:hAnsi="Times New Roman"/>
          <w:szCs w:val="24"/>
        </w:rPr>
        <w:t>This change was made in consultation with Dr. Linda Rice, English Department Chair</w:t>
      </w:r>
    </w:p>
    <w:p w14:paraId="2C93C763" w14:textId="77777777" w:rsidR="00852C80" w:rsidRPr="00852C80" w:rsidRDefault="00852C80" w:rsidP="00852C80">
      <w:pPr>
        <w:pStyle w:val="Default"/>
        <w:rPr>
          <w:color w:val="auto"/>
        </w:rPr>
      </w:pPr>
    </w:p>
    <w:p w14:paraId="3C54EDEB"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The current program requires students to choose ONE of the following options: </w:t>
      </w:r>
    </w:p>
    <w:p w14:paraId="213818C1"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 ENG 5510 Teaching Literature in Secondary Schools (3 credits) AND ENG 5911 Field Experience in Secondary English/Language Composition (1 credit) </w:t>
      </w:r>
    </w:p>
    <w:p w14:paraId="001A696D"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 ENG 5520 Teaching Language and Composition (3 credits) AND ENG 5912 Field Experience in Secondary English/Literature (1 credit) </w:t>
      </w:r>
    </w:p>
    <w:p w14:paraId="104B2EC0" w14:textId="77777777" w:rsidR="00852C80" w:rsidRPr="00852C80" w:rsidRDefault="00852C80" w:rsidP="00852C80">
      <w:pPr>
        <w:rPr>
          <w:rFonts w:ascii="Times New Roman" w:hAnsi="Times New Roman"/>
          <w:szCs w:val="24"/>
        </w:rPr>
      </w:pPr>
    </w:p>
    <w:p w14:paraId="2F4D3F6A" w14:textId="77777777" w:rsidR="00852C80" w:rsidRPr="00852C80" w:rsidRDefault="00852C80" w:rsidP="00852C80">
      <w:pPr>
        <w:rPr>
          <w:rFonts w:ascii="Times New Roman" w:hAnsi="Times New Roman"/>
          <w:szCs w:val="24"/>
        </w:rPr>
      </w:pPr>
      <w:r w:rsidRPr="00852C80">
        <w:rPr>
          <w:rFonts w:ascii="Times New Roman" w:hAnsi="Times New Roman"/>
          <w:szCs w:val="24"/>
        </w:rPr>
        <w:t>We are eliminating the requirement for either ENG 5911 or 5912, thus eliminating 1 credit from the program of study.</w:t>
      </w:r>
    </w:p>
    <w:p w14:paraId="18001E8D" w14:textId="77777777" w:rsidR="00852C80" w:rsidRPr="00852C80" w:rsidRDefault="00852C80" w:rsidP="00852C80">
      <w:pPr>
        <w:pStyle w:val="Default"/>
        <w:rPr>
          <w:b/>
          <w:bCs/>
          <w:color w:val="auto"/>
        </w:rPr>
      </w:pPr>
    </w:p>
    <w:p w14:paraId="57A0B96C" w14:textId="77777777" w:rsidR="00852C80" w:rsidRPr="00852C80" w:rsidRDefault="00852C80" w:rsidP="00852C80">
      <w:pPr>
        <w:pStyle w:val="Default"/>
        <w:rPr>
          <w:b/>
          <w:bCs/>
          <w:color w:val="auto"/>
        </w:rPr>
      </w:pPr>
      <w:r w:rsidRPr="00852C80">
        <w:rPr>
          <w:b/>
          <w:bCs/>
          <w:color w:val="auto"/>
        </w:rPr>
        <w:t>EXPEDITED</w:t>
      </w:r>
    </w:p>
    <w:p w14:paraId="4BF658E6" w14:textId="77777777" w:rsidR="00852C80" w:rsidRPr="00852C80" w:rsidRDefault="00852C80" w:rsidP="0076398B">
      <w:pPr>
        <w:pStyle w:val="Default"/>
        <w:widowControl w:val="0"/>
        <w:numPr>
          <w:ilvl w:val="0"/>
          <w:numId w:val="7"/>
        </w:numPr>
        <w:rPr>
          <w:b/>
          <w:bCs/>
          <w:color w:val="auto"/>
        </w:rPr>
      </w:pPr>
      <w:r w:rsidRPr="00852C80">
        <w:rPr>
          <w:b/>
          <w:bCs/>
          <w:color w:val="auto"/>
        </w:rPr>
        <w:t>College of Fine Arts</w:t>
      </w:r>
    </w:p>
    <w:p w14:paraId="44BD4247" w14:textId="77777777" w:rsidR="00852C80" w:rsidRPr="00852C80" w:rsidRDefault="00852C80" w:rsidP="00852C80">
      <w:pPr>
        <w:pStyle w:val="Default"/>
        <w:rPr>
          <w:color w:val="auto"/>
        </w:rPr>
      </w:pPr>
      <w:r w:rsidRPr="00852C80">
        <w:rPr>
          <w:color w:val="auto"/>
        </w:rPr>
        <w:t>Program Code: BF5155</w:t>
      </w:r>
    </w:p>
    <w:p w14:paraId="2BA465A7" w14:textId="77777777" w:rsidR="00852C80" w:rsidRPr="00852C80" w:rsidRDefault="00852C80" w:rsidP="00852C80">
      <w:pPr>
        <w:pStyle w:val="Default"/>
        <w:rPr>
          <w:color w:val="auto"/>
        </w:rPr>
      </w:pPr>
      <w:r w:rsidRPr="00852C80">
        <w:rPr>
          <w:color w:val="auto"/>
        </w:rPr>
        <w:t>Program Name: Film</w:t>
      </w:r>
      <w:r w:rsidRPr="00852C80">
        <w:rPr>
          <w:color w:val="auto"/>
        </w:rPr>
        <w:tab/>
      </w:r>
    </w:p>
    <w:p w14:paraId="5CDC728F" w14:textId="77777777" w:rsidR="00852C80" w:rsidRPr="00852C80" w:rsidRDefault="00852C80" w:rsidP="00852C80">
      <w:pPr>
        <w:pStyle w:val="Default"/>
        <w:rPr>
          <w:color w:val="auto"/>
        </w:rPr>
      </w:pPr>
      <w:r w:rsidRPr="00852C80">
        <w:rPr>
          <w:color w:val="auto"/>
        </w:rPr>
        <w:t>Department/School: School of Film</w:t>
      </w:r>
    </w:p>
    <w:p w14:paraId="1023CF50" w14:textId="77777777" w:rsidR="00852C80" w:rsidRPr="00852C80" w:rsidRDefault="00852C80" w:rsidP="00852C80">
      <w:pPr>
        <w:pStyle w:val="Default"/>
        <w:rPr>
          <w:color w:val="auto"/>
        </w:rPr>
      </w:pPr>
      <w:r w:rsidRPr="00852C80">
        <w:rPr>
          <w:color w:val="auto"/>
        </w:rPr>
        <w:t xml:space="preserve">Contact: </w:t>
      </w:r>
      <w:proofErr w:type="spellStart"/>
      <w:r w:rsidRPr="00852C80">
        <w:rPr>
          <w:color w:val="auto"/>
        </w:rPr>
        <w:t>Ofer</w:t>
      </w:r>
      <w:proofErr w:type="spellEnd"/>
      <w:r w:rsidRPr="00852C80">
        <w:rPr>
          <w:color w:val="auto"/>
        </w:rPr>
        <w:t xml:space="preserve"> </w:t>
      </w:r>
      <w:proofErr w:type="spellStart"/>
      <w:r w:rsidRPr="00852C80">
        <w:rPr>
          <w:color w:val="auto"/>
        </w:rPr>
        <w:t>Eliaz</w:t>
      </w:r>
      <w:proofErr w:type="spellEnd"/>
    </w:p>
    <w:p w14:paraId="48D4F11A" w14:textId="77777777" w:rsidR="00852C80" w:rsidRPr="00852C80" w:rsidRDefault="00852C80" w:rsidP="00852C80">
      <w:pPr>
        <w:pStyle w:val="Default"/>
        <w:rPr>
          <w:color w:val="auto"/>
        </w:rPr>
      </w:pPr>
    </w:p>
    <w:p w14:paraId="2C323F66" w14:textId="77777777" w:rsidR="00852C80" w:rsidRPr="00852C80" w:rsidRDefault="00852C80" w:rsidP="00852C80">
      <w:pPr>
        <w:rPr>
          <w:rFonts w:ascii="Times New Roman" w:hAnsi="Times New Roman"/>
          <w:szCs w:val="24"/>
        </w:rPr>
      </w:pPr>
      <w:r w:rsidRPr="00852C80">
        <w:rPr>
          <w:rFonts w:ascii="Times New Roman" w:hAnsi="Times New Roman"/>
          <w:szCs w:val="24"/>
        </w:rPr>
        <w:t>Add FAR 1500: Viewing the Arts as an option to the 1st Year Core requirement.</w:t>
      </w:r>
    </w:p>
    <w:p w14:paraId="1EB6F470"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This course would support the BFA curriculum well and will give the students more flexibility in building their schedules. This change will not alter the program’s required credit hours, learning outcomes, or assessment plans. </w:t>
      </w:r>
    </w:p>
    <w:p w14:paraId="6BCC31FE" w14:textId="77777777" w:rsidR="00852C80" w:rsidRPr="00852C80" w:rsidRDefault="00852C80" w:rsidP="00852C80">
      <w:pPr>
        <w:rPr>
          <w:rFonts w:ascii="Times New Roman" w:hAnsi="Times New Roman"/>
          <w:szCs w:val="24"/>
        </w:rPr>
      </w:pPr>
    </w:p>
    <w:p w14:paraId="13A6DE27"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Currently, the First-Year Core requires that students complete one of the following courses: </w:t>
      </w:r>
    </w:p>
    <w:p w14:paraId="03A541D5"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ART 1100 – Seeing and Knowing the Visual Arts </w:t>
      </w:r>
    </w:p>
    <w:p w14:paraId="75DB3CAD"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ART 1240 – Visual Art in Practice and Theory: Critical Perspectives </w:t>
      </w:r>
    </w:p>
    <w:p w14:paraId="76B3B0CE" w14:textId="77777777" w:rsidR="00852C80" w:rsidRPr="00852C80" w:rsidRDefault="00852C80" w:rsidP="00852C80">
      <w:pPr>
        <w:rPr>
          <w:rFonts w:ascii="Times New Roman" w:hAnsi="Times New Roman"/>
          <w:szCs w:val="24"/>
        </w:rPr>
      </w:pPr>
      <w:r w:rsidRPr="00852C80">
        <w:rPr>
          <w:rFonts w:ascii="Times New Roman" w:hAnsi="Times New Roman"/>
          <w:szCs w:val="24"/>
        </w:rPr>
        <w:t xml:space="preserve">IART 1170 – Introduction to the Arts: Arts in Contexts </w:t>
      </w:r>
    </w:p>
    <w:p w14:paraId="6692C7B1" w14:textId="77777777" w:rsidR="00852C80" w:rsidRPr="00852C80" w:rsidRDefault="00852C80" w:rsidP="00852C80">
      <w:pPr>
        <w:rPr>
          <w:rFonts w:ascii="Times New Roman" w:hAnsi="Times New Roman"/>
          <w:szCs w:val="24"/>
        </w:rPr>
      </w:pPr>
    </w:p>
    <w:p w14:paraId="2803D10E" w14:textId="77777777" w:rsidR="00852C80" w:rsidRPr="00852C80" w:rsidRDefault="00852C80" w:rsidP="00852C80">
      <w:pPr>
        <w:rPr>
          <w:rFonts w:ascii="Times New Roman" w:hAnsi="Times New Roman"/>
          <w:szCs w:val="24"/>
        </w:rPr>
      </w:pPr>
      <w:r w:rsidRPr="00852C80">
        <w:rPr>
          <w:rFonts w:ascii="Times New Roman" w:hAnsi="Times New Roman"/>
          <w:szCs w:val="24"/>
        </w:rPr>
        <w:t>This change would add the following course to the list of options from which the students can choose: FAR 1500: Viewing the Arts</w:t>
      </w:r>
    </w:p>
    <w:p w14:paraId="3577D450" w14:textId="77777777" w:rsidR="00852C80" w:rsidRPr="00852C80" w:rsidRDefault="00852C80" w:rsidP="00852C80">
      <w:pPr>
        <w:pStyle w:val="Default"/>
        <w:rPr>
          <w:b/>
          <w:bCs/>
          <w:color w:val="auto"/>
        </w:rPr>
      </w:pPr>
    </w:p>
    <w:p w14:paraId="3F7639E7" w14:textId="77091E72" w:rsidR="00852C80" w:rsidRPr="00852C80" w:rsidRDefault="00852C80" w:rsidP="00852C80">
      <w:pPr>
        <w:pStyle w:val="Default"/>
        <w:rPr>
          <w:b/>
          <w:color w:val="auto"/>
        </w:rPr>
      </w:pPr>
      <w:r w:rsidRPr="00852C80">
        <w:rPr>
          <w:b/>
          <w:color w:val="auto"/>
        </w:rPr>
        <w:t>NOTIFICATIONS</w:t>
      </w:r>
    </w:p>
    <w:p w14:paraId="359833CD" w14:textId="0AFB3100" w:rsidR="00852C80" w:rsidRDefault="00852C80" w:rsidP="0076398B">
      <w:pPr>
        <w:pStyle w:val="gmail-msolistparagraph"/>
        <w:numPr>
          <w:ilvl w:val="0"/>
          <w:numId w:val="6"/>
        </w:numPr>
        <w:spacing w:before="0" w:beforeAutospacing="0" w:after="0" w:afterAutospacing="0"/>
        <w:rPr>
          <w:color w:val="000000"/>
        </w:rPr>
      </w:pPr>
      <w:r w:rsidRPr="00852C80">
        <w:rPr>
          <w:color w:val="000000"/>
        </w:rPr>
        <w:t xml:space="preserve">Open OHIO Announcement </w:t>
      </w:r>
    </w:p>
    <w:p w14:paraId="4AF2F5BB" w14:textId="4B124B80" w:rsidR="00187D9C" w:rsidRDefault="00187D9C" w:rsidP="0076398B">
      <w:pPr>
        <w:pStyle w:val="gmail-msolistparagraph"/>
        <w:numPr>
          <w:ilvl w:val="0"/>
          <w:numId w:val="8"/>
        </w:numPr>
        <w:spacing w:before="0" w:beforeAutospacing="0" w:after="0" w:afterAutospacing="0"/>
        <w:rPr>
          <w:color w:val="000000"/>
        </w:rPr>
      </w:pPr>
      <w:r>
        <w:rPr>
          <w:color w:val="000000"/>
        </w:rPr>
        <w:lastRenderedPageBreak/>
        <w:t xml:space="preserve">Library archival system to allow easy searching by keywords. </w:t>
      </w:r>
    </w:p>
    <w:p w14:paraId="17E747A4" w14:textId="1EB425C3" w:rsidR="005578E6" w:rsidRDefault="005578E6" w:rsidP="005578E6">
      <w:pPr>
        <w:pStyle w:val="gmail-msolistparagraph"/>
        <w:spacing w:before="0" w:beforeAutospacing="0" w:after="0" w:afterAutospacing="0"/>
        <w:rPr>
          <w:color w:val="000000"/>
        </w:rPr>
      </w:pPr>
    </w:p>
    <w:p w14:paraId="6B53D91C" w14:textId="77777777" w:rsidR="005578E6" w:rsidRPr="007467DE" w:rsidRDefault="005578E6" w:rsidP="005578E6">
      <w:pPr>
        <w:contextualSpacing/>
        <w:rPr>
          <w:rFonts w:ascii="Times New Roman" w:hAnsi="Times New Roman"/>
        </w:rPr>
      </w:pPr>
      <w:r w:rsidRPr="007467DE">
        <w:rPr>
          <w:rFonts w:ascii="Times New Roman" w:hAnsi="Times New Roman"/>
          <w:b/>
          <w:bCs/>
        </w:rPr>
        <w:t>PROGRAM REVIEW COMMITTEE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001972C0" w14:textId="3DF3B8B1" w:rsidR="005578E6" w:rsidRDefault="005578E6" w:rsidP="005578E6">
      <w:pPr>
        <w:pStyle w:val="gmail-msolistparagraph"/>
        <w:spacing w:before="0" w:beforeAutospacing="0" w:after="0" w:afterAutospacing="0"/>
        <w:rPr>
          <w:color w:val="000000"/>
        </w:rPr>
      </w:pPr>
    </w:p>
    <w:p w14:paraId="10869EB1" w14:textId="03A7176E" w:rsidR="005578E6" w:rsidRPr="005578E6" w:rsidRDefault="005578E6" w:rsidP="005578E6">
      <w:pPr>
        <w:contextualSpacing/>
        <w:rPr>
          <w:rFonts w:ascii="Times New Roman" w:eastAsia="Calibri" w:hAnsi="Times New Roman"/>
          <w:b/>
          <w:bCs/>
        </w:rPr>
      </w:pPr>
      <w:r>
        <w:rPr>
          <w:rFonts w:ascii="Times New Roman" w:eastAsia="Calibri" w:hAnsi="Times New Roman"/>
          <w:b/>
          <w:bCs/>
        </w:rPr>
        <w:t>Holdover from</w:t>
      </w:r>
      <w:r w:rsidRPr="007467DE">
        <w:rPr>
          <w:rFonts w:ascii="Times New Roman" w:eastAsia="Calibri" w:hAnsi="Times New Roman"/>
          <w:b/>
          <w:bCs/>
        </w:rPr>
        <w:t xml:space="preserve"> AY 2020-21</w:t>
      </w:r>
    </w:p>
    <w:p w14:paraId="0B54CEA8" w14:textId="083022DD" w:rsidR="005578E6" w:rsidRPr="005578E6" w:rsidRDefault="005578E6" w:rsidP="0076398B">
      <w:pPr>
        <w:pStyle w:val="ListParagraph"/>
        <w:numPr>
          <w:ilvl w:val="0"/>
          <w:numId w:val="3"/>
        </w:numPr>
        <w:spacing w:line="240" w:lineRule="auto"/>
        <w:ind w:left="360"/>
        <w:rPr>
          <w:b/>
          <w:bCs/>
        </w:rPr>
      </w:pPr>
      <w:r w:rsidRPr="007467DE">
        <w:t xml:space="preserve">Chemical and Biomolecular Engineering – </w:t>
      </w:r>
      <w:r>
        <w:rPr>
          <w:color w:val="FF0000"/>
        </w:rPr>
        <w:t>Second</w:t>
      </w:r>
      <w:r w:rsidRPr="00A250EC">
        <w:rPr>
          <w:color w:val="FF0000"/>
        </w:rPr>
        <w:t xml:space="preserve"> Reading</w:t>
      </w:r>
      <w:r>
        <w:rPr>
          <w:color w:val="FF0000"/>
        </w:rPr>
        <w:t xml:space="preserve"> </w:t>
      </w:r>
      <w:r w:rsidRPr="005578E6">
        <w:rPr>
          <w:b/>
          <w:bCs/>
        </w:rPr>
        <w:t>(Approved)</w:t>
      </w:r>
    </w:p>
    <w:p w14:paraId="4F88AE90" w14:textId="77777777" w:rsidR="005578E6" w:rsidRPr="007467DE" w:rsidRDefault="005578E6" w:rsidP="005578E6">
      <w:pPr>
        <w:contextualSpacing/>
        <w:rPr>
          <w:rFonts w:ascii="Times New Roman" w:hAnsi="Times New Roman"/>
          <w:b/>
          <w:bCs/>
        </w:rPr>
      </w:pPr>
      <w:r>
        <w:rPr>
          <w:rFonts w:ascii="Times New Roman" w:hAnsi="Times New Roman"/>
          <w:b/>
          <w:bCs/>
        </w:rPr>
        <w:t>On-going Reviews</w:t>
      </w:r>
      <w:r w:rsidRPr="007467DE">
        <w:rPr>
          <w:rFonts w:ascii="Times New Roman" w:hAnsi="Times New Roman"/>
          <w:b/>
          <w:bCs/>
        </w:rPr>
        <w:t xml:space="preserve"> AY </w:t>
      </w:r>
      <w:r>
        <w:rPr>
          <w:rFonts w:ascii="Times New Roman" w:hAnsi="Times New Roman"/>
          <w:b/>
          <w:bCs/>
        </w:rPr>
        <w:t>2021-22</w:t>
      </w:r>
    </w:p>
    <w:p w14:paraId="499DB89B" w14:textId="77777777" w:rsidR="005578E6" w:rsidRPr="007467DE" w:rsidRDefault="005578E6" w:rsidP="005578E6">
      <w:pPr>
        <w:contextualSpacing/>
        <w:rPr>
          <w:rFonts w:ascii="Times New Roman" w:hAnsi="Times New Roman"/>
        </w:rPr>
      </w:pPr>
    </w:p>
    <w:p w14:paraId="42BFFA89" w14:textId="77777777" w:rsidR="005578E6" w:rsidRDefault="005578E6" w:rsidP="0076398B">
      <w:pPr>
        <w:pStyle w:val="ListParagraph"/>
        <w:numPr>
          <w:ilvl w:val="0"/>
          <w:numId w:val="9"/>
        </w:numPr>
      </w:pPr>
      <w:r>
        <w:t>Communication Sciences and Disorders</w:t>
      </w:r>
    </w:p>
    <w:p w14:paraId="59FB26A5" w14:textId="77777777" w:rsidR="005578E6" w:rsidRPr="00155A8D" w:rsidRDefault="005578E6" w:rsidP="0076398B">
      <w:pPr>
        <w:pStyle w:val="ListParagraph"/>
        <w:numPr>
          <w:ilvl w:val="0"/>
          <w:numId w:val="11"/>
        </w:numPr>
        <w:rPr>
          <w:sz w:val="22"/>
          <w:szCs w:val="20"/>
        </w:rPr>
      </w:pPr>
      <w:r w:rsidRPr="00155A8D">
        <w:rPr>
          <w:sz w:val="22"/>
          <w:szCs w:val="20"/>
        </w:rPr>
        <w:t>external reviewers waived; awaiting self-study</w:t>
      </w:r>
    </w:p>
    <w:p w14:paraId="13066FB8" w14:textId="77777777" w:rsidR="005578E6" w:rsidRDefault="005578E6" w:rsidP="0076398B">
      <w:pPr>
        <w:pStyle w:val="ListParagraph"/>
        <w:numPr>
          <w:ilvl w:val="0"/>
          <w:numId w:val="9"/>
        </w:numPr>
      </w:pPr>
      <w:r>
        <w:t>Communication Studies</w:t>
      </w:r>
    </w:p>
    <w:p w14:paraId="78F8AF45" w14:textId="77777777" w:rsidR="005578E6" w:rsidRPr="00155A8D" w:rsidRDefault="005578E6" w:rsidP="0076398B">
      <w:pPr>
        <w:pStyle w:val="ListParagraph"/>
        <w:numPr>
          <w:ilvl w:val="0"/>
          <w:numId w:val="11"/>
        </w:numPr>
        <w:rPr>
          <w:sz w:val="22"/>
          <w:szCs w:val="20"/>
        </w:rPr>
      </w:pPr>
      <w:r w:rsidRPr="00155A8D">
        <w:rPr>
          <w:sz w:val="22"/>
          <w:szCs w:val="20"/>
        </w:rPr>
        <w:t>external reviewers approved; awaiting self-study; site visit date set for Oct. 14-15</w:t>
      </w:r>
    </w:p>
    <w:p w14:paraId="7768EA91" w14:textId="77777777" w:rsidR="005578E6" w:rsidRDefault="005578E6" w:rsidP="0076398B">
      <w:pPr>
        <w:pStyle w:val="ListParagraph"/>
        <w:numPr>
          <w:ilvl w:val="0"/>
          <w:numId w:val="9"/>
        </w:numPr>
      </w:pPr>
      <w:r>
        <w:t>Engineering Technology and Management</w:t>
      </w:r>
    </w:p>
    <w:p w14:paraId="0EFBAA4D" w14:textId="77777777" w:rsidR="005578E6" w:rsidRPr="00155A8D" w:rsidRDefault="005578E6" w:rsidP="0076398B">
      <w:pPr>
        <w:pStyle w:val="ListParagraph"/>
        <w:numPr>
          <w:ilvl w:val="0"/>
          <w:numId w:val="11"/>
        </w:numPr>
        <w:rPr>
          <w:sz w:val="22"/>
          <w:szCs w:val="20"/>
        </w:rPr>
      </w:pPr>
      <w:r w:rsidRPr="00155A8D">
        <w:rPr>
          <w:sz w:val="22"/>
          <w:szCs w:val="20"/>
        </w:rPr>
        <w:t>external reviewers waived/approved; awaiting self-study (extension to Oct. 15)</w:t>
      </w:r>
    </w:p>
    <w:p w14:paraId="67C0F58E" w14:textId="77777777" w:rsidR="005578E6" w:rsidRDefault="005578E6" w:rsidP="0076398B">
      <w:pPr>
        <w:pStyle w:val="ListParagraph"/>
        <w:numPr>
          <w:ilvl w:val="0"/>
          <w:numId w:val="9"/>
        </w:numPr>
      </w:pPr>
      <w:r>
        <w:t>Honors Tutorial College</w:t>
      </w:r>
    </w:p>
    <w:p w14:paraId="70994184" w14:textId="77777777" w:rsidR="005578E6" w:rsidRDefault="005578E6" w:rsidP="0076398B">
      <w:pPr>
        <w:pStyle w:val="ListParagraph"/>
        <w:numPr>
          <w:ilvl w:val="0"/>
          <w:numId w:val="11"/>
        </w:numPr>
      </w:pPr>
      <w:r w:rsidRPr="00155A8D">
        <w:rPr>
          <w:sz w:val="22"/>
          <w:szCs w:val="20"/>
        </w:rPr>
        <w:t>internal reviewers only; awaiting self-study</w:t>
      </w:r>
    </w:p>
    <w:p w14:paraId="42736B99" w14:textId="77777777" w:rsidR="005578E6" w:rsidRDefault="005578E6" w:rsidP="0076398B">
      <w:pPr>
        <w:pStyle w:val="ListParagraph"/>
        <w:numPr>
          <w:ilvl w:val="0"/>
          <w:numId w:val="9"/>
        </w:numPr>
      </w:pPr>
      <w:r>
        <w:t>Individual Interdisciplinary Program</w:t>
      </w:r>
    </w:p>
    <w:p w14:paraId="60F3B628" w14:textId="77777777" w:rsidR="005578E6" w:rsidRPr="00155A8D" w:rsidRDefault="005578E6" w:rsidP="0076398B">
      <w:pPr>
        <w:pStyle w:val="ListParagraph"/>
        <w:numPr>
          <w:ilvl w:val="0"/>
          <w:numId w:val="11"/>
        </w:numPr>
        <w:rPr>
          <w:sz w:val="22"/>
          <w:szCs w:val="20"/>
        </w:rPr>
      </w:pPr>
      <w:r w:rsidRPr="00155A8D">
        <w:rPr>
          <w:sz w:val="22"/>
          <w:szCs w:val="20"/>
        </w:rPr>
        <w:t>internal reviewers only; awaiting self-study</w:t>
      </w:r>
    </w:p>
    <w:p w14:paraId="009FF3C1" w14:textId="77777777" w:rsidR="005578E6" w:rsidRDefault="005578E6" w:rsidP="0076398B">
      <w:pPr>
        <w:pStyle w:val="ListParagraph"/>
        <w:numPr>
          <w:ilvl w:val="0"/>
          <w:numId w:val="9"/>
        </w:numPr>
      </w:pPr>
      <w:r>
        <w:t>Interdisciplinary Health Studies</w:t>
      </w:r>
    </w:p>
    <w:p w14:paraId="1356D0B7" w14:textId="77777777" w:rsidR="005578E6" w:rsidRPr="00155A8D" w:rsidRDefault="005578E6" w:rsidP="0076398B">
      <w:pPr>
        <w:pStyle w:val="ListParagraph"/>
        <w:numPr>
          <w:ilvl w:val="0"/>
          <w:numId w:val="11"/>
        </w:numPr>
        <w:rPr>
          <w:sz w:val="22"/>
          <w:szCs w:val="20"/>
        </w:rPr>
      </w:pPr>
      <w:r w:rsidRPr="00155A8D">
        <w:rPr>
          <w:sz w:val="22"/>
          <w:szCs w:val="20"/>
        </w:rPr>
        <w:t>external reviewers approved; self-study received; site visit date set for Nov. 10</w:t>
      </w:r>
    </w:p>
    <w:p w14:paraId="0491A64C" w14:textId="77777777" w:rsidR="005578E6" w:rsidRDefault="005578E6" w:rsidP="0076398B">
      <w:pPr>
        <w:pStyle w:val="ListParagraph"/>
        <w:numPr>
          <w:ilvl w:val="0"/>
          <w:numId w:val="9"/>
        </w:numPr>
      </w:pPr>
      <w:r>
        <w:t>Journalism and Mass Communication</w:t>
      </w:r>
    </w:p>
    <w:p w14:paraId="62A557DC" w14:textId="77777777" w:rsidR="005578E6" w:rsidRPr="00155A8D" w:rsidRDefault="005578E6" w:rsidP="0076398B">
      <w:pPr>
        <w:pStyle w:val="ListParagraph"/>
        <w:numPr>
          <w:ilvl w:val="0"/>
          <w:numId w:val="11"/>
        </w:numPr>
        <w:rPr>
          <w:sz w:val="22"/>
          <w:szCs w:val="20"/>
        </w:rPr>
      </w:pPr>
      <w:r w:rsidRPr="00155A8D">
        <w:rPr>
          <w:sz w:val="22"/>
          <w:szCs w:val="20"/>
        </w:rPr>
        <w:t xml:space="preserve">external reviewers approved; awaiting self-study; site visit date set for </w:t>
      </w:r>
      <w:r>
        <w:rPr>
          <w:sz w:val="22"/>
          <w:szCs w:val="20"/>
        </w:rPr>
        <w:t xml:space="preserve">Nov. </w:t>
      </w:r>
      <w:r w:rsidRPr="00155A8D">
        <w:rPr>
          <w:sz w:val="22"/>
          <w:szCs w:val="20"/>
        </w:rPr>
        <w:t>17-18</w:t>
      </w:r>
    </w:p>
    <w:p w14:paraId="7C28757D" w14:textId="77777777" w:rsidR="005578E6" w:rsidRDefault="005578E6" w:rsidP="0076398B">
      <w:pPr>
        <w:pStyle w:val="ListParagraph"/>
        <w:numPr>
          <w:ilvl w:val="0"/>
          <w:numId w:val="9"/>
        </w:numPr>
      </w:pPr>
      <w:r>
        <w:t>Media Arts and Studies</w:t>
      </w:r>
    </w:p>
    <w:p w14:paraId="37302769" w14:textId="77777777" w:rsidR="005578E6" w:rsidRPr="00155A8D" w:rsidRDefault="005578E6" w:rsidP="0076398B">
      <w:pPr>
        <w:pStyle w:val="ListParagraph"/>
        <w:numPr>
          <w:ilvl w:val="0"/>
          <w:numId w:val="11"/>
        </w:numPr>
        <w:rPr>
          <w:sz w:val="22"/>
          <w:szCs w:val="20"/>
        </w:rPr>
      </w:pPr>
      <w:r w:rsidRPr="00155A8D">
        <w:rPr>
          <w:sz w:val="22"/>
          <w:szCs w:val="20"/>
        </w:rPr>
        <w:t xml:space="preserve">external reviewers approved; awaiting self-study; site visit date set for </w:t>
      </w:r>
      <w:r>
        <w:rPr>
          <w:sz w:val="22"/>
          <w:szCs w:val="20"/>
        </w:rPr>
        <w:t xml:space="preserve">Nov. </w:t>
      </w:r>
      <w:r w:rsidRPr="00155A8D">
        <w:rPr>
          <w:sz w:val="22"/>
          <w:szCs w:val="20"/>
        </w:rPr>
        <w:t>4-5</w:t>
      </w:r>
    </w:p>
    <w:p w14:paraId="4D64A94E" w14:textId="77777777" w:rsidR="005578E6" w:rsidRDefault="005578E6" w:rsidP="0076398B">
      <w:pPr>
        <w:pStyle w:val="ListParagraph"/>
        <w:numPr>
          <w:ilvl w:val="0"/>
          <w:numId w:val="9"/>
        </w:numPr>
      </w:pPr>
      <w:r>
        <w:t>Physical Therapy</w:t>
      </w:r>
    </w:p>
    <w:p w14:paraId="29BFFE16" w14:textId="77777777" w:rsidR="005578E6" w:rsidRPr="00155A8D" w:rsidRDefault="005578E6" w:rsidP="0076398B">
      <w:pPr>
        <w:pStyle w:val="ListParagraph"/>
        <w:numPr>
          <w:ilvl w:val="0"/>
          <w:numId w:val="11"/>
        </w:numPr>
        <w:rPr>
          <w:sz w:val="22"/>
          <w:szCs w:val="20"/>
        </w:rPr>
      </w:pPr>
      <w:r w:rsidRPr="00155A8D">
        <w:rPr>
          <w:sz w:val="22"/>
          <w:szCs w:val="20"/>
        </w:rPr>
        <w:t>external reviewers waived; awaiting self-study</w:t>
      </w:r>
    </w:p>
    <w:p w14:paraId="45836949" w14:textId="77777777" w:rsidR="005578E6" w:rsidRDefault="005578E6" w:rsidP="0076398B">
      <w:pPr>
        <w:pStyle w:val="ListParagraph"/>
        <w:numPr>
          <w:ilvl w:val="0"/>
          <w:numId w:val="9"/>
        </w:numPr>
      </w:pPr>
      <w:r>
        <w:t>Physician Assistant Practice</w:t>
      </w:r>
    </w:p>
    <w:p w14:paraId="5D6AE072" w14:textId="77777777" w:rsidR="005578E6" w:rsidRPr="00155A8D" w:rsidRDefault="005578E6" w:rsidP="0076398B">
      <w:pPr>
        <w:pStyle w:val="ListParagraph"/>
        <w:numPr>
          <w:ilvl w:val="0"/>
          <w:numId w:val="11"/>
        </w:numPr>
        <w:rPr>
          <w:sz w:val="22"/>
          <w:szCs w:val="20"/>
        </w:rPr>
      </w:pPr>
      <w:r w:rsidRPr="00155A8D">
        <w:rPr>
          <w:sz w:val="22"/>
          <w:szCs w:val="20"/>
        </w:rPr>
        <w:t>external reviewers waived; self-study received; site visit set for Jan. 27-28</w:t>
      </w:r>
    </w:p>
    <w:p w14:paraId="683167D4" w14:textId="77777777" w:rsidR="005578E6" w:rsidRDefault="005578E6" w:rsidP="0076398B">
      <w:pPr>
        <w:pStyle w:val="ListParagraph"/>
        <w:numPr>
          <w:ilvl w:val="0"/>
          <w:numId w:val="9"/>
        </w:numPr>
      </w:pPr>
      <w:r>
        <w:t>Translational Biomedical Sciences</w:t>
      </w:r>
    </w:p>
    <w:p w14:paraId="3CC5700C" w14:textId="010F8336" w:rsidR="005578E6" w:rsidRPr="005578E6" w:rsidRDefault="005578E6" w:rsidP="0076398B">
      <w:pPr>
        <w:pStyle w:val="ListParagraph"/>
        <w:numPr>
          <w:ilvl w:val="0"/>
          <w:numId w:val="11"/>
        </w:numPr>
      </w:pPr>
      <w:r>
        <w:t>e</w:t>
      </w:r>
      <w:r w:rsidRPr="00155A8D">
        <w:rPr>
          <w:sz w:val="22"/>
          <w:szCs w:val="20"/>
        </w:rPr>
        <w:t>xternal reviewers approved; awaiting self-study</w:t>
      </w:r>
    </w:p>
    <w:p w14:paraId="262D1ACC" w14:textId="4B294D54" w:rsidR="005578E6" w:rsidRPr="005578E6" w:rsidRDefault="005578E6" w:rsidP="005578E6">
      <w:pPr>
        <w:contextualSpacing/>
        <w:rPr>
          <w:rFonts w:ascii="Times New Roman" w:eastAsia="Calibri" w:hAnsi="Times New Roman"/>
          <w:b/>
          <w:bCs/>
        </w:rPr>
      </w:pPr>
      <w:r>
        <w:rPr>
          <w:rFonts w:ascii="Times New Roman" w:eastAsia="Calibri" w:hAnsi="Times New Roman"/>
          <w:b/>
          <w:bCs/>
        </w:rPr>
        <w:t>Postponed Reviews</w:t>
      </w:r>
    </w:p>
    <w:p w14:paraId="1466A821" w14:textId="13276C2A" w:rsidR="005578E6" w:rsidRPr="005578E6" w:rsidRDefault="005578E6" w:rsidP="0076398B">
      <w:pPr>
        <w:pStyle w:val="ListParagraph"/>
        <w:numPr>
          <w:ilvl w:val="0"/>
          <w:numId w:val="10"/>
        </w:numPr>
      </w:pPr>
      <w:r>
        <w:t>Center for Law, Justice, and Culture (review moved to 2023-24)</w:t>
      </w:r>
    </w:p>
    <w:p w14:paraId="36D83232" w14:textId="6A6D551B" w:rsidR="005578E6" w:rsidRPr="00373DDC" w:rsidRDefault="005578E6" w:rsidP="005578E6">
      <w:pPr>
        <w:rPr>
          <w:rFonts w:ascii="Times New Roman" w:hAnsi="Times New Roman"/>
          <w:b/>
          <w:bCs/>
        </w:rPr>
      </w:pPr>
      <w:r w:rsidRPr="00373DDC">
        <w:rPr>
          <w:rFonts w:ascii="Times New Roman" w:hAnsi="Times New Roman"/>
          <w:b/>
          <w:bCs/>
        </w:rPr>
        <w:t>Other PRC Business</w:t>
      </w:r>
    </w:p>
    <w:p w14:paraId="1F0A72B8" w14:textId="77777777" w:rsidR="005578E6" w:rsidRPr="007467DE" w:rsidRDefault="005578E6" w:rsidP="0076398B">
      <w:pPr>
        <w:pStyle w:val="ListParagraph"/>
        <w:numPr>
          <w:ilvl w:val="0"/>
          <w:numId w:val="4"/>
        </w:numPr>
      </w:pPr>
      <w:r>
        <w:t>Orientation for potential internal reviewers, Sept. 24</w:t>
      </w:r>
    </w:p>
    <w:p w14:paraId="0C92DFAD" w14:textId="3C3A8CD6" w:rsidR="00187D9C" w:rsidRDefault="00187D9C" w:rsidP="00187D9C">
      <w:pPr>
        <w:pStyle w:val="gmail-msolistparagraph"/>
        <w:spacing w:before="0" w:beforeAutospacing="0" w:after="0" w:afterAutospacing="0"/>
        <w:rPr>
          <w:color w:val="000000"/>
        </w:rPr>
      </w:pPr>
    </w:p>
    <w:p w14:paraId="2D39B839" w14:textId="1A5D2B51" w:rsidR="005578E6" w:rsidRDefault="005578E6" w:rsidP="00187D9C">
      <w:pPr>
        <w:pStyle w:val="gmail-msolistparagraph"/>
        <w:spacing w:before="0" w:beforeAutospacing="0" w:after="0" w:afterAutospacing="0"/>
        <w:rPr>
          <w:color w:val="000000"/>
        </w:rPr>
      </w:pPr>
    </w:p>
    <w:p w14:paraId="03537648" w14:textId="33ED4FF2" w:rsidR="005578E6" w:rsidRDefault="005578E6" w:rsidP="00187D9C">
      <w:pPr>
        <w:pStyle w:val="gmail-msolistparagraph"/>
        <w:spacing w:before="0" w:beforeAutospacing="0" w:after="0" w:afterAutospacing="0"/>
        <w:rPr>
          <w:color w:val="000000"/>
        </w:rPr>
      </w:pPr>
    </w:p>
    <w:p w14:paraId="3220BBB4" w14:textId="2CCDA921" w:rsidR="005578E6" w:rsidRDefault="005578E6" w:rsidP="00187D9C">
      <w:pPr>
        <w:pStyle w:val="gmail-msolistparagraph"/>
        <w:spacing w:before="0" w:beforeAutospacing="0" w:after="0" w:afterAutospacing="0"/>
        <w:rPr>
          <w:color w:val="000000"/>
        </w:rPr>
      </w:pPr>
    </w:p>
    <w:p w14:paraId="68DE2E6D" w14:textId="2EA80AD4" w:rsidR="005578E6" w:rsidRDefault="005578E6" w:rsidP="00187D9C">
      <w:pPr>
        <w:pStyle w:val="gmail-msolistparagraph"/>
        <w:spacing w:before="0" w:beforeAutospacing="0" w:after="0" w:afterAutospacing="0"/>
        <w:rPr>
          <w:color w:val="000000"/>
        </w:rPr>
      </w:pPr>
    </w:p>
    <w:p w14:paraId="7FB42AD2" w14:textId="3DDBC941" w:rsidR="005578E6" w:rsidRDefault="005578E6" w:rsidP="00187D9C">
      <w:pPr>
        <w:pStyle w:val="gmail-msolistparagraph"/>
        <w:spacing w:before="0" w:beforeAutospacing="0" w:after="0" w:afterAutospacing="0"/>
        <w:rPr>
          <w:color w:val="000000"/>
        </w:rPr>
      </w:pPr>
    </w:p>
    <w:p w14:paraId="33C48BF8" w14:textId="163A7C44" w:rsidR="005578E6" w:rsidRDefault="005578E6" w:rsidP="00187D9C">
      <w:pPr>
        <w:pStyle w:val="gmail-msolistparagraph"/>
        <w:spacing w:before="0" w:beforeAutospacing="0" w:after="0" w:afterAutospacing="0"/>
        <w:rPr>
          <w:color w:val="000000"/>
        </w:rPr>
      </w:pPr>
    </w:p>
    <w:p w14:paraId="5CBE0801" w14:textId="77777777" w:rsidR="005578E6" w:rsidRPr="00852C80" w:rsidRDefault="005578E6" w:rsidP="00187D9C">
      <w:pPr>
        <w:pStyle w:val="gmail-msolistparagraph"/>
        <w:spacing w:before="0" w:beforeAutospacing="0" w:after="0" w:afterAutospacing="0"/>
        <w:rPr>
          <w:color w:val="000000"/>
        </w:rPr>
      </w:pPr>
    </w:p>
    <w:p w14:paraId="3DE7185E" w14:textId="5A07D83D"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and Jim Dyer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F9EEFA7" w14:textId="77777777" w:rsidR="0042523D" w:rsidRPr="00A14BFC" w:rsidRDefault="0042523D" w:rsidP="00111455">
      <w:pPr>
        <w:tabs>
          <w:tab w:val="num" w:pos="2160"/>
        </w:tabs>
        <w:suppressAutoHyphens/>
        <w:outlineLvl w:val="0"/>
        <w:rPr>
          <w:rFonts w:ascii="Times New Roman" w:hAnsi="Times New Roman"/>
          <w:color w:val="000000"/>
          <w:szCs w:val="24"/>
        </w:rPr>
      </w:pPr>
    </w:p>
    <w:p w14:paraId="2AAA0094" w14:textId="77777777" w:rsidR="00852C80" w:rsidRPr="00852C80" w:rsidRDefault="00852C80" w:rsidP="00852C80">
      <w:pPr>
        <w:rPr>
          <w:rFonts w:ascii="Times New Roman" w:hAnsi="Times New Roman"/>
          <w:b/>
          <w:bCs/>
          <w:szCs w:val="24"/>
        </w:rPr>
      </w:pPr>
      <w:r w:rsidRPr="00852C80">
        <w:rPr>
          <w:rFonts w:ascii="Times New Roman" w:hAnsi="Times New Roman"/>
          <w:b/>
          <w:bCs/>
          <w:szCs w:val="24"/>
        </w:rPr>
        <w:t>NEW COURSES</w:t>
      </w:r>
    </w:p>
    <w:tbl>
      <w:tblPr>
        <w:tblW w:w="123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5"/>
        <w:gridCol w:w="5490"/>
        <w:gridCol w:w="5040"/>
      </w:tblGrid>
      <w:tr w:rsidR="00852C80" w:rsidRPr="00852C80" w14:paraId="0EEC0C28" w14:textId="77777777" w:rsidTr="00187D9C">
        <w:trPr>
          <w:trHeight w:val="300"/>
        </w:trPr>
        <w:tc>
          <w:tcPr>
            <w:tcW w:w="1795" w:type="dxa"/>
            <w:shd w:val="clear" w:color="auto" w:fill="auto"/>
            <w:noWrap/>
            <w:vAlign w:val="bottom"/>
            <w:hideMark/>
          </w:tcPr>
          <w:p w14:paraId="56E4E510" w14:textId="77777777" w:rsidR="00852C80" w:rsidRPr="00852C80" w:rsidRDefault="00852C80" w:rsidP="009A537B">
            <w:pPr>
              <w:spacing w:after="120"/>
              <w:rPr>
                <w:rFonts w:ascii="Times New Roman" w:hAnsi="Times New Roman"/>
                <w:b/>
                <w:bCs/>
                <w:color w:val="000000"/>
                <w:szCs w:val="24"/>
              </w:rPr>
            </w:pPr>
            <w:r w:rsidRPr="00852C80">
              <w:rPr>
                <w:rFonts w:ascii="Times New Roman" w:hAnsi="Times New Roman"/>
                <w:b/>
                <w:bCs/>
                <w:color w:val="000000"/>
                <w:szCs w:val="24"/>
              </w:rPr>
              <w:t>College</w:t>
            </w:r>
          </w:p>
        </w:tc>
        <w:tc>
          <w:tcPr>
            <w:tcW w:w="5490" w:type="dxa"/>
            <w:shd w:val="clear" w:color="auto" w:fill="auto"/>
            <w:noWrap/>
            <w:vAlign w:val="bottom"/>
            <w:hideMark/>
          </w:tcPr>
          <w:p w14:paraId="2634729A" w14:textId="77777777" w:rsidR="00852C80" w:rsidRPr="00852C80" w:rsidRDefault="00852C80" w:rsidP="009A537B">
            <w:pPr>
              <w:spacing w:after="120"/>
              <w:rPr>
                <w:rFonts w:ascii="Times New Roman" w:hAnsi="Times New Roman"/>
                <w:b/>
                <w:bCs/>
                <w:color w:val="000000"/>
                <w:szCs w:val="24"/>
              </w:rPr>
            </w:pPr>
            <w:r w:rsidRPr="00852C80">
              <w:rPr>
                <w:rFonts w:ascii="Times New Roman" w:hAnsi="Times New Roman"/>
                <w:b/>
                <w:bCs/>
                <w:color w:val="000000"/>
                <w:szCs w:val="24"/>
              </w:rPr>
              <w:t>Course</w:t>
            </w:r>
          </w:p>
        </w:tc>
        <w:tc>
          <w:tcPr>
            <w:tcW w:w="5040" w:type="dxa"/>
            <w:shd w:val="clear" w:color="auto" w:fill="auto"/>
            <w:noWrap/>
            <w:vAlign w:val="bottom"/>
            <w:hideMark/>
          </w:tcPr>
          <w:p w14:paraId="451D44FA" w14:textId="77777777" w:rsidR="00852C80" w:rsidRPr="00852C80" w:rsidRDefault="00852C80" w:rsidP="009A537B">
            <w:pPr>
              <w:spacing w:after="120"/>
              <w:rPr>
                <w:rFonts w:ascii="Times New Roman" w:hAnsi="Times New Roman"/>
                <w:b/>
                <w:bCs/>
                <w:color w:val="000000"/>
                <w:szCs w:val="24"/>
              </w:rPr>
            </w:pPr>
            <w:r w:rsidRPr="00852C80">
              <w:rPr>
                <w:rFonts w:ascii="Times New Roman" w:hAnsi="Times New Roman"/>
                <w:b/>
                <w:bCs/>
                <w:color w:val="000000"/>
                <w:szCs w:val="24"/>
              </w:rPr>
              <w:t>BRICKS</w:t>
            </w:r>
          </w:p>
        </w:tc>
      </w:tr>
      <w:tr w:rsidR="00852C80" w:rsidRPr="00852C80" w14:paraId="1D583C93" w14:textId="77777777" w:rsidTr="00187D9C">
        <w:trPr>
          <w:trHeight w:val="300"/>
        </w:trPr>
        <w:tc>
          <w:tcPr>
            <w:tcW w:w="1795" w:type="dxa"/>
            <w:shd w:val="clear" w:color="auto" w:fill="auto"/>
            <w:vAlign w:val="center"/>
            <w:hideMark/>
          </w:tcPr>
          <w:p w14:paraId="109B0C23"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Fine Arts</w:t>
            </w:r>
          </w:p>
        </w:tc>
        <w:tc>
          <w:tcPr>
            <w:tcW w:w="5490" w:type="dxa"/>
            <w:shd w:val="clear" w:color="auto" w:fill="auto"/>
            <w:vAlign w:val="center"/>
            <w:hideMark/>
          </w:tcPr>
          <w:p w14:paraId="272D57A2"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ART 3680: Sketching and Rendering for Interior Architecture</w:t>
            </w:r>
          </w:p>
        </w:tc>
        <w:tc>
          <w:tcPr>
            <w:tcW w:w="5040" w:type="dxa"/>
            <w:shd w:val="clear" w:color="auto" w:fill="auto"/>
            <w:noWrap/>
            <w:vAlign w:val="bottom"/>
            <w:hideMark/>
          </w:tcPr>
          <w:p w14:paraId="1187AF2E" w14:textId="77777777" w:rsidR="00852C80" w:rsidRPr="00852C80" w:rsidRDefault="00852C80" w:rsidP="00187D9C">
            <w:pPr>
              <w:spacing w:after="120"/>
              <w:rPr>
                <w:rFonts w:ascii="Times New Roman" w:hAnsi="Times New Roman"/>
                <w:color w:val="000000"/>
                <w:szCs w:val="24"/>
              </w:rPr>
            </w:pPr>
          </w:p>
        </w:tc>
      </w:tr>
      <w:tr w:rsidR="00852C80" w:rsidRPr="00852C80" w14:paraId="0E730E7F" w14:textId="77777777" w:rsidTr="00187D9C">
        <w:trPr>
          <w:trHeight w:val="405"/>
        </w:trPr>
        <w:tc>
          <w:tcPr>
            <w:tcW w:w="1795" w:type="dxa"/>
            <w:vMerge w:val="restart"/>
            <w:shd w:val="clear" w:color="auto" w:fill="auto"/>
            <w:hideMark/>
          </w:tcPr>
          <w:p w14:paraId="5D18841B"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Health Sciences &amp; Professions</w:t>
            </w:r>
          </w:p>
        </w:tc>
        <w:tc>
          <w:tcPr>
            <w:tcW w:w="5490" w:type="dxa"/>
            <w:shd w:val="clear" w:color="auto" w:fill="auto"/>
            <w:vAlign w:val="center"/>
            <w:hideMark/>
          </w:tcPr>
          <w:p w14:paraId="1090DC33"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IHS 4350/5350: The Impact of Social Determinants on Health</w:t>
            </w:r>
          </w:p>
        </w:tc>
        <w:tc>
          <w:tcPr>
            <w:tcW w:w="5040" w:type="dxa"/>
            <w:shd w:val="clear" w:color="auto" w:fill="auto"/>
            <w:noWrap/>
            <w:vAlign w:val="bottom"/>
            <w:hideMark/>
          </w:tcPr>
          <w:p w14:paraId="205C4295" w14:textId="77777777" w:rsidR="00852C80" w:rsidRPr="00852C80" w:rsidRDefault="00852C80" w:rsidP="00187D9C">
            <w:pPr>
              <w:spacing w:after="120"/>
              <w:rPr>
                <w:rFonts w:ascii="Times New Roman" w:hAnsi="Times New Roman"/>
                <w:color w:val="000000"/>
                <w:szCs w:val="24"/>
              </w:rPr>
            </w:pPr>
          </w:p>
        </w:tc>
      </w:tr>
      <w:tr w:rsidR="00852C80" w:rsidRPr="00852C80" w14:paraId="2ED18E95" w14:textId="77777777" w:rsidTr="00187D9C">
        <w:trPr>
          <w:trHeight w:val="300"/>
        </w:trPr>
        <w:tc>
          <w:tcPr>
            <w:tcW w:w="1795" w:type="dxa"/>
            <w:vMerge/>
            <w:vAlign w:val="center"/>
            <w:hideMark/>
          </w:tcPr>
          <w:p w14:paraId="6EFFD2BC" w14:textId="77777777" w:rsidR="00852C80" w:rsidRPr="00852C80" w:rsidRDefault="00852C80" w:rsidP="009A537B">
            <w:pPr>
              <w:spacing w:after="120"/>
              <w:rPr>
                <w:rFonts w:ascii="Times New Roman" w:hAnsi="Times New Roman"/>
                <w:color w:val="000000"/>
                <w:szCs w:val="24"/>
              </w:rPr>
            </w:pPr>
          </w:p>
        </w:tc>
        <w:tc>
          <w:tcPr>
            <w:tcW w:w="5490" w:type="dxa"/>
            <w:shd w:val="clear" w:color="auto" w:fill="auto"/>
            <w:vAlign w:val="center"/>
            <w:hideMark/>
          </w:tcPr>
          <w:p w14:paraId="674463C4"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IHS 6301: Perfusion Theory I</w:t>
            </w:r>
          </w:p>
        </w:tc>
        <w:tc>
          <w:tcPr>
            <w:tcW w:w="5040" w:type="dxa"/>
            <w:shd w:val="clear" w:color="auto" w:fill="auto"/>
            <w:noWrap/>
            <w:vAlign w:val="bottom"/>
            <w:hideMark/>
          </w:tcPr>
          <w:p w14:paraId="45B43E94" w14:textId="77777777" w:rsidR="00852C80" w:rsidRPr="00852C80" w:rsidRDefault="00852C80" w:rsidP="00187D9C">
            <w:pPr>
              <w:spacing w:after="120"/>
              <w:rPr>
                <w:rFonts w:ascii="Times New Roman" w:hAnsi="Times New Roman"/>
                <w:color w:val="000000"/>
                <w:szCs w:val="24"/>
              </w:rPr>
            </w:pPr>
          </w:p>
        </w:tc>
      </w:tr>
      <w:tr w:rsidR="00852C80" w:rsidRPr="00852C80" w14:paraId="086D370B" w14:textId="77777777" w:rsidTr="00187D9C">
        <w:trPr>
          <w:trHeight w:val="300"/>
        </w:trPr>
        <w:tc>
          <w:tcPr>
            <w:tcW w:w="1795" w:type="dxa"/>
            <w:vMerge/>
            <w:vAlign w:val="center"/>
            <w:hideMark/>
          </w:tcPr>
          <w:p w14:paraId="3857A34D" w14:textId="77777777" w:rsidR="00852C80" w:rsidRPr="00852C80" w:rsidRDefault="00852C80" w:rsidP="009A537B">
            <w:pPr>
              <w:spacing w:after="120"/>
              <w:rPr>
                <w:rFonts w:ascii="Times New Roman" w:hAnsi="Times New Roman"/>
                <w:color w:val="000000"/>
                <w:szCs w:val="24"/>
              </w:rPr>
            </w:pPr>
          </w:p>
        </w:tc>
        <w:tc>
          <w:tcPr>
            <w:tcW w:w="5490" w:type="dxa"/>
            <w:shd w:val="clear" w:color="auto" w:fill="auto"/>
            <w:vAlign w:val="center"/>
            <w:hideMark/>
          </w:tcPr>
          <w:p w14:paraId="15208B28"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IHS 6302: Perfusion Circuit</w:t>
            </w:r>
          </w:p>
        </w:tc>
        <w:tc>
          <w:tcPr>
            <w:tcW w:w="5040" w:type="dxa"/>
            <w:shd w:val="clear" w:color="auto" w:fill="auto"/>
            <w:noWrap/>
            <w:vAlign w:val="bottom"/>
            <w:hideMark/>
          </w:tcPr>
          <w:p w14:paraId="1C872A44" w14:textId="77777777" w:rsidR="00852C80" w:rsidRPr="00852C80" w:rsidRDefault="00852C80" w:rsidP="00187D9C">
            <w:pPr>
              <w:spacing w:after="120"/>
              <w:rPr>
                <w:rFonts w:ascii="Times New Roman" w:hAnsi="Times New Roman"/>
                <w:color w:val="000000"/>
                <w:szCs w:val="24"/>
              </w:rPr>
            </w:pPr>
          </w:p>
        </w:tc>
      </w:tr>
      <w:tr w:rsidR="00852C80" w:rsidRPr="00852C80" w14:paraId="6BEA4646" w14:textId="77777777" w:rsidTr="00187D9C">
        <w:trPr>
          <w:trHeight w:val="300"/>
        </w:trPr>
        <w:tc>
          <w:tcPr>
            <w:tcW w:w="1795" w:type="dxa"/>
            <w:vMerge/>
            <w:vAlign w:val="center"/>
            <w:hideMark/>
          </w:tcPr>
          <w:p w14:paraId="60E54748" w14:textId="77777777" w:rsidR="00852C80" w:rsidRPr="00852C80" w:rsidRDefault="00852C80" w:rsidP="009A537B">
            <w:pPr>
              <w:spacing w:after="120"/>
              <w:rPr>
                <w:rFonts w:ascii="Times New Roman" w:hAnsi="Times New Roman"/>
                <w:color w:val="000000"/>
                <w:szCs w:val="24"/>
              </w:rPr>
            </w:pPr>
          </w:p>
        </w:tc>
        <w:tc>
          <w:tcPr>
            <w:tcW w:w="5490" w:type="dxa"/>
            <w:shd w:val="clear" w:color="auto" w:fill="auto"/>
            <w:vAlign w:val="center"/>
            <w:hideMark/>
          </w:tcPr>
          <w:p w14:paraId="56EC8E64"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IHS 6355: Services and Programs for Older Adults</w:t>
            </w:r>
          </w:p>
        </w:tc>
        <w:tc>
          <w:tcPr>
            <w:tcW w:w="5040" w:type="dxa"/>
            <w:shd w:val="clear" w:color="auto" w:fill="auto"/>
            <w:noWrap/>
            <w:vAlign w:val="bottom"/>
            <w:hideMark/>
          </w:tcPr>
          <w:p w14:paraId="4C1F681F" w14:textId="77777777" w:rsidR="00852C80" w:rsidRPr="00852C80" w:rsidRDefault="00852C80" w:rsidP="00187D9C">
            <w:pPr>
              <w:spacing w:after="120"/>
              <w:rPr>
                <w:rFonts w:ascii="Times New Roman" w:hAnsi="Times New Roman"/>
                <w:color w:val="000000"/>
                <w:szCs w:val="24"/>
              </w:rPr>
            </w:pPr>
          </w:p>
        </w:tc>
      </w:tr>
      <w:tr w:rsidR="00852C80" w:rsidRPr="00852C80" w14:paraId="02D0F9C3" w14:textId="77777777" w:rsidTr="00187D9C">
        <w:trPr>
          <w:trHeight w:val="300"/>
        </w:trPr>
        <w:tc>
          <w:tcPr>
            <w:tcW w:w="1795" w:type="dxa"/>
            <w:vMerge/>
            <w:vAlign w:val="center"/>
            <w:hideMark/>
          </w:tcPr>
          <w:p w14:paraId="1596E38B" w14:textId="77777777" w:rsidR="00852C80" w:rsidRPr="00852C80" w:rsidRDefault="00852C80" w:rsidP="009A537B">
            <w:pPr>
              <w:spacing w:after="120"/>
              <w:rPr>
                <w:rFonts w:ascii="Times New Roman" w:hAnsi="Times New Roman"/>
                <w:color w:val="000000"/>
                <w:szCs w:val="24"/>
              </w:rPr>
            </w:pPr>
          </w:p>
        </w:tc>
        <w:tc>
          <w:tcPr>
            <w:tcW w:w="5490" w:type="dxa"/>
            <w:shd w:val="clear" w:color="auto" w:fill="auto"/>
            <w:vAlign w:val="center"/>
            <w:hideMark/>
          </w:tcPr>
          <w:p w14:paraId="58A40590"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IHS 6356: Caregiving and Coordinated Care for Olde</w:t>
            </w:r>
          </w:p>
        </w:tc>
        <w:tc>
          <w:tcPr>
            <w:tcW w:w="5040" w:type="dxa"/>
            <w:shd w:val="clear" w:color="auto" w:fill="auto"/>
            <w:noWrap/>
            <w:vAlign w:val="bottom"/>
            <w:hideMark/>
          </w:tcPr>
          <w:p w14:paraId="27765CC0" w14:textId="77777777" w:rsidR="00852C80" w:rsidRPr="00852C80" w:rsidRDefault="00852C80" w:rsidP="00187D9C">
            <w:pPr>
              <w:spacing w:after="120"/>
              <w:rPr>
                <w:rFonts w:ascii="Times New Roman" w:hAnsi="Times New Roman"/>
                <w:color w:val="000000"/>
                <w:szCs w:val="24"/>
              </w:rPr>
            </w:pPr>
          </w:p>
        </w:tc>
      </w:tr>
      <w:tr w:rsidR="00852C80" w:rsidRPr="00852C80" w14:paraId="48F2C487" w14:textId="77777777" w:rsidTr="00187D9C">
        <w:trPr>
          <w:trHeight w:val="300"/>
        </w:trPr>
        <w:tc>
          <w:tcPr>
            <w:tcW w:w="1795" w:type="dxa"/>
            <w:vMerge/>
            <w:vAlign w:val="center"/>
            <w:hideMark/>
          </w:tcPr>
          <w:p w14:paraId="260A504F" w14:textId="77777777" w:rsidR="00852C80" w:rsidRPr="00852C80" w:rsidRDefault="00852C80" w:rsidP="009A537B">
            <w:pPr>
              <w:spacing w:after="120"/>
              <w:rPr>
                <w:rFonts w:ascii="Times New Roman" w:hAnsi="Times New Roman"/>
                <w:color w:val="000000"/>
                <w:szCs w:val="24"/>
              </w:rPr>
            </w:pPr>
          </w:p>
        </w:tc>
        <w:tc>
          <w:tcPr>
            <w:tcW w:w="5490" w:type="dxa"/>
            <w:shd w:val="clear" w:color="auto" w:fill="auto"/>
            <w:vAlign w:val="center"/>
            <w:hideMark/>
          </w:tcPr>
          <w:p w14:paraId="74B7AF74"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IHS 6921: Perfusion Practicum I</w:t>
            </w:r>
          </w:p>
        </w:tc>
        <w:tc>
          <w:tcPr>
            <w:tcW w:w="5040" w:type="dxa"/>
            <w:shd w:val="clear" w:color="auto" w:fill="auto"/>
            <w:noWrap/>
            <w:vAlign w:val="bottom"/>
            <w:hideMark/>
          </w:tcPr>
          <w:p w14:paraId="45D2F44B" w14:textId="77777777" w:rsidR="00852C80" w:rsidRPr="00852C80" w:rsidRDefault="00852C80" w:rsidP="00187D9C">
            <w:pPr>
              <w:spacing w:after="120"/>
              <w:rPr>
                <w:rFonts w:ascii="Times New Roman" w:hAnsi="Times New Roman"/>
                <w:color w:val="000000"/>
                <w:szCs w:val="24"/>
              </w:rPr>
            </w:pPr>
          </w:p>
        </w:tc>
      </w:tr>
      <w:tr w:rsidR="00852C80" w:rsidRPr="00852C80" w14:paraId="18AEE628" w14:textId="77777777" w:rsidTr="00187D9C">
        <w:trPr>
          <w:trHeight w:val="300"/>
        </w:trPr>
        <w:tc>
          <w:tcPr>
            <w:tcW w:w="1795" w:type="dxa"/>
            <w:vMerge/>
            <w:vAlign w:val="center"/>
            <w:hideMark/>
          </w:tcPr>
          <w:p w14:paraId="246A3C5F" w14:textId="77777777" w:rsidR="00852C80" w:rsidRPr="00852C80" w:rsidRDefault="00852C80" w:rsidP="009A537B">
            <w:pPr>
              <w:spacing w:after="120"/>
              <w:rPr>
                <w:rFonts w:ascii="Times New Roman" w:hAnsi="Times New Roman"/>
                <w:color w:val="000000"/>
                <w:szCs w:val="24"/>
              </w:rPr>
            </w:pPr>
          </w:p>
        </w:tc>
        <w:tc>
          <w:tcPr>
            <w:tcW w:w="5490" w:type="dxa"/>
            <w:shd w:val="clear" w:color="auto" w:fill="auto"/>
            <w:vAlign w:val="center"/>
            <w:hideMark/>
          </w:tcPr>
          <w:p w14:paraId="1A9ACD60"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NRSE 3530: Cultural Diversity and Health Disparity</w:t>
            </w:r>
          </w:p>
        </w:tc>
        <w:tc>
          <w:tcPr>
            <w:tcW w:w="5040" w:type="dxa"/>
            <w:shd w:val="clear" w:color="auto" w:fill="auto"/>
            <w:noWrap/>
            <w:vAlign w:val="bottom"/>
            <w:hideMark/>
          </w:tcPr>
          <w:p w14:paraId="3FC58C94" w14:textId="77777777" w:rsidR="00852C80" w:rsidRPr="00852C80" w:rsidRDefault="00852C80" w:rsidP="00187D9C">
            <w:pPr>
              <w:spacing w:after="120"/>
              <w:rPr>
                <w:rFonts w:ascii="Times New Roman" w:hAnsi="Times New Roman"/>
                <w:color w:val="000000"/>
                <w:szCs w:val="24"/>
              </w:rPr>
            </w:pPr>
            <w:r w:rsidRPr="00852C80">
              <w:rPr>
                <w:rFonts w:ascii="Times New Roman" w:hAnsi="Times New Roman"/>
                <w:color w:val="000000"/>
                <w:szCs w:val="24"/>
              </w:rPr>
              <w:t>BDP</w:t>
            </w:r>
          </w:p>
        </w:tc>
      </w:tr>
      <w:tr w:rsidR="00852C80" w:rsidRPr="00852C80" w14:paraId="4EEC17C9" w14:textId="77777777" w:rsidTr="00187D9C">
        <w:trPr>
          <w:trHeight w:val="449"/>
        </w:trPr>
        <w:tc>
          <w:tcPr>
            <w:tcW w:w="1795" w:type="dxa"/>
            <w:vMerge/>
            <w:vAlign w:val="center"/>
            <w:hideMark/>
          </w:tcPr>
          <w:p w14:paraId="08C03E96" w14:textId="77777777" w:rsidR="00852C80" w:rsidRPr="00852C80" w:rsidRDefault="00852C80" w:rsidP="009A537B">
            <w:pPr>
              <w:spacing w:after="120"/>
              <w:rPr>
                <w:rFonts w:ascii="Times New Roman" w:hAnsi="Times New Roman"/>
                <w:color w:val="000000"/>
                <w:szCs w:val="24"/>
              </w:rPr>
            </w:pPr>
          </w:p>
        </w:tc>
        <w:tc>
          <w:tcPr>
            <w:tcW w:w="5490" w:type="dxa"/>
            <w:shd w:val="clear" w:color="auto" w:fill="auto"/>
            <w:vAlign w:val="center"/>
            <w:hideMark/>
          </w:tcPr>
          <w:p w14:paraId="522DC0DB"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NRSE 3540: Poverty and Food Insecurity</w:t>
            </w:r>
            <w:r w:rsidRPr="00852C80">
              <w:rPr>
                <w:rFonts w:ascii="Times New Roman" w:hAnsi="Times New Roman"/>
                <w:szCs w:val="24"/>
              </w:rPr>
              <w:t xml:space="preserve"> </w:t>
            </w:r>
          </w:p>
        </w:tc>
        <w:tc>
          <w:tcPr>
            <w:tcW w:w="5040" w:type="dxa"/>
            <w:shd w:val="clear" w:color="auto" w:fill="auto"/>
            <w:noWrap/>
            <w:vAlign w:val="bottom"/>
          </w:tcPr>
          <w:p w14:paraId="404C6C86" w14:textId="77777777" w:rsidR="00852C80" w:rsidRPr="00852C80" w:rsidRDefault="00852C80" w:rsidP="00187D9C">
            <w:pPr>
              <w:spacing w:after="120"/>
              <w:rPr>
                <w:rFonts w:ascii="Times New Roman" w:hAnsi="Times New Roman"/>
                <w:color w:val="000000"/>
                <w:szCs w:val="24"/>
              </w:rPr>
            </w:pPr>
            <w:r w:rsidRPr="00852C80">
              <w:rPr>
                <w:rFonts w:ascii="Times New Roman" w:hAnsi="Times New Roman"/>
                <w:color w:val="000000"/>
                <w:szCs w:val="24"/>
              </w:rPr>
              <w:t>BLD</w:t>
            </w:r>
          </w:p>
        </w:tc>
      </w:tr>
      <w:tr w:rsidR="00852C80" w:rsidRPr="00852C80" w14:paraId="264C3608" w14:textId="77777777" w:rsidTr="00187D9C">
        <w:trPr>
          <w:trHeight w:val="300"/>
        </w:trPr>
        <w:tc>
          <w:tcPr>
            <w:tcW w:w="1795" w:type="dxa"/>
            <w:shd w:val="clear" w:color="auto" w:fill="auto"/>
            <w:vAlign w:val="center"/>
            <w:hideMark/>
          </w:tcPr>
          <w:p w14:paraId="52596252"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 xml:space="preserve">Patton </w:t>
            </w:r>
          </w:p>
        </w:tc>
        <w:tc>
          <w:tcPr>
            <w:tcW w:w="5490" w:type="dxa"/>
            <w:shd w:val="clear" w:color="auto" w:fill="auto"/>
            <w:vAlign w:val="center"/>
            <w:hideMark/>
          </w:tcPr>
          <w:p w14:paraId="4A1DB7A2"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EDRE 7530: Qualitative Data Analysis History, Theory and Implementation</w:t>
            </w:r>
          </w:p>
        </w:tc>
        <w:tc>
          <w:tcPr>
            <w:tcW w:w="5040" w:type="dxa"/>
            <w:shd w:val="clear" w:color="auto" w:fill="auto"/>
            <w:noWrap/>
            <w:vAlign w:val="bottom"/>
            <w:hideMark/>
          </w:tcPr>
          <w:p w14:paraId="711AA581" w14:textId="77777777" w:rsidR="00852C80" w:rsidRPr="00852C80" w:rsidRDefault="00852C80" w:rsidP="009A537B">
            <w:pPr>
              <w:spacing w:after="120"/>
              <w:jc w:val="center"/>
              <w:rPr>
                <w:rFonts w:ascii="Times New Roman" w:hAnsi="Times New Roman"/>
                <w:color w:val="000000"/>
                <w:szCs w:val="24"/>
              </w:rPr>
            </w:pPr>
          </w:p>
        </w:tc>
      </w:tr>
    </w:tbl>
    <w:p w14:paraId="54C1A799" w14:textId="77777777" w:rsidR="00852C80" w:rsidRPr="00852C80" w:rsidRDefault="00852C80" w:rsidP="00852C80">
      <w:pPr>
        <w:rPr>
          <w:rFonts w:ascii="Times New Roman" w:hAnsi="Times New Roman"/>
          <w:b/>
          <w:bCs/>
          <w:szCs w:val="24"/>
        </w:rPr>
      </w:pPr>
    </w:p>
    <w:p w14:paraId="2447787E" w14:textId="77777777" w:rsidR="00852C80" w:rsidRPr="00852C80" w:rsidRDefault="00852C80" w:rsidP="00852C80">
      <w:pPr>
        <w:rPr>
          <w:rFonts w:ascii="Times New Roman" w:hAnsi="Times New Roman"/>
          <w:b/>
          <w:bCs/>
          <w:szCs w:val="24"/>
        </w:rPr>
      </w:pPr>
      <w:r w:rsidRPr="00852C80">
        <w:rPr>
          <w:rFonts w:ascii="Times New Roman" w:hAnsi="Times New Roman"/>
          <w:b/>
          <w:bCs/>
          <w:szCs w:val="24"/>
        </w:rPr>
        <w:t>COURSE CHANGES</w:t>
      </w:r>
    </w:p>
    <w:tbl>
      <w:tblPr>
        <w:tblW w:w="1250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323"/>
        <w:gridCol w:w="3442"/>
        <w:gridCol w:w="1190"/>
        <w:gridCol w:w="6568"/>
      </w:tblGrid>
      <w:tr w:rsidR="00852C80" w:rsidRPr="00852C80" w14:paraId="054E3E49" w14:textId="77777777" w:rsidTr="00187D9C">
        <w:trPr>
          <w:trHeight w:val="287"/>
        </w:trPr>
        <w:tc>
          <w:tcPr>
            <w:tcW w:w="1323" w:type="dxa"/>
            <w:shd w:val="clear" w:color="auto" w:fill="auto"/>
            <w:noWrap/>
            <w:vAlign w:val="bottom"/>
            <w:hideMark/>
          </w:tcPr>
          <w:p w14:paraId="64E6406E" w14:textId="77777777" w:rsidR="00852C80" w:rsidRPr="00852C80" w:rsidRDefault="00852C80" w:rsidP="009A537B">
            <w:pPr>
              <w:spacing w:after="120"/>
              <w:rPr>
                <w:rFonts w:ascii="Times New Roman" w:hAnsi="Times New Roman"/>
                <w:b/>
                <w:bCs/>
                <w:color w:val="000000"/>
                <w:szCs w:val="24"/>
              </w:rPr>
            </w:pPr>
            <w:r w:rsidRPr="00852C80">
              <w:rPr>
                <w:rFonts w:ascii="Times New Roman" w:hAnsi="Times New Roman"/>
                <w:b/>
                <w:bCs/>
                <w:color w:val="000000"/>
                <w:szCs w:val="24"/>
              </w:rPr>
              <w:t>College</w:t>
            </w:r>
          </w:p>
        </w:tc>
        <w:tc>
          <w:tcPr>
            <w:tcW w:w="3442" w:type="dxa"/>
            <w:shd w:val="clear" w:color="auto" w:fill="auto"/>
            <w:noWrap/>
            <w:vAlign w:val="bottom"/>
            <w:hideMark/>
          </w:tcPr>
          <w:p w14:paraId="7042A0D0" w14:textId="77777777" w:rsidR="00852C80" w:rsidRPr="00852C80" w:rsidRDefault="00852C80" w:rsidP="009A537B">
            <w:pPr>
              <w:spacing w:after="120"/>
              <w:rPr>
                <w:rFonts w:ascii="Times New Roman" w:hAnsi="Times New Roman"/>
                <w:b/>
                <w:bCs/>
                <w:color w:val="000000"/>
                <w:szCs w:val="24"/>
              </w:rPr>
            </w:pPr>
            <w:r w:rsidRPr="00852C80">
              <w:rPr>
                <w:rFonts w:ascii="Times New Roman" w:hAnsi="Times New Roman"/>
                <w:b/>
                <w:bCs/>
                <w:color w:val="000000"/>
                <w:szCs w:val="24"/>
              </w:rPr>
              <w:t>Course</w:t>
            </w:r>
          </w:p>
        </w:tc>
        <w:tc>
          <w:tcPr>
            <w:tcW w:w="1170" w:type="dxa"/>
            <w:shd w:val="clear" w:color="auto" w:fill="auto"/>
            <w:noWrap/>
            <w:vAlign w:val="bottom"/>
            <w:hideMark/>
          </w:tcPr>
          <w:p w14:paraId="47203822" w14:textId="77777777" w:rsidR="00852C80" w:rsidRPr="00852C80" w:rsidRDefault="00852C80" w:rsidP="009A537B">
            <w:pPr>
              <w:spacing w:after="120"/>
              <w:rPr>
                <w:rFonts w:ascii="Times New Roman" w:hAnsi="Times New Roman"/>
                <w:b/>
                <w:bCs/>
                <w:color w:val="000000"/>
                <w:szCs w:val="24"/>
              </w:rPr>
            </w:pPr>
            <w:r w:rsidRPr="00852C80">
              <w:rPr>
                <w:rFonts w:ascii="Times New Roman" w:hAnsi="Times New Roman"/>
                <w:b/>
                <w:bCs/>
                <w:color w:val="000000"/>
                <w:szCs w:val="24"/>
              </w:rPr>
              <w:t>BRICKS</w:t>
            </w:r>
          </w:p>
        </w:tc>
        <w:tc>
          <w:tcPr>
            <w:tcW w:w="6568" w:type="dxa"/>
            <w:shd w:val="clear" w:color="auto" w:fill="auto"/>
            <w:noWrap/>
            <w:vAlign w:val="bottom"/>
            <w:hideMark/>
          </w:tcPr>
          <w:p w14:paraId="3A1651D5" w14:textId="77777777" w:rsidR="00852C80" w:rsidRPr="00852C80" w:rsidRDefault="00852C80" w:rsidP="009A537B">
            <w:pPr>
              <w:spacing w:after="120"/>
              <w:rPr>
                <w:rFonts w:ascii="Times New Roman" w:hAnsi="Times New Roman"/>
                <w:b/>
                <w:bCs/>
                <w:color w:val="000000"/>
                <w:szCs w:val="24"/>
              </w:rPr>
            </w:pPr>
            <w:r w:rsidRPr="00852C80">
              <w:rPr>
                <w:rFonts w:ascii="Times New Roman" w:hAnsi="Times New Roman"/>
                <w:b/>
                <w:bCs/>
                <w:color w:val="000000"/>
                <w:szCs w:val="24"/>
              </w:rPr>
              <w:t>Changes</w:t>
            </w:r>
          </w:p>
        </w:tc>
      </w:tr>
      <w:tr w:rsidR="00852C80" w:rsidRPr="00852C80" w14:paraId="1601A6CA" w14:textId="77777777" w:rsidTr="00187D9C">
        <w:trPr>
          <w:trHeight w:val="300"/>
        </w:trPr>
        <w:tc>
          <w:tcPr>
            <w:tcW w:w="1323" w:type="dxa"/>
            <w:shd w:val="clear" w:color="auto" w:fill="auto"/>
            <w:hideMark/>
          </w:tcPr>
          <w:p w14:paraId="25B82B32"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Business</w:t>
            </w:r>
          </w:p>
        </w:tc>
        <w:tc>
          <w:tcPr>
            <w:tcW w:w="3442" w:type="dxa"/>
            <w:shd w:val="clear" w:color="auto" w:fill="auto"/>
            <w:hideMark/>
          </w:tcPr>
          <w:p w14:paraId="255DEB3E"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MGT 3700: Introduction to Entrepreneurship</w:t>
            </w:r>
          </w:p>
        </w:tc>
        <w:tc>
          <w:tcPr>
            <w:tcW w:w="1080" w:type="dxa"/>
            <w:shd w:val="clear" w:color="auto" w:fill="auto"/>
            <w:noWrap/>
            <w:hideMark/>
          </w:tcPr>
          <w:p w14:paraId="1F166757" w14:textId="77777777" w:rsidR="00852C80" w:rsidRPr="00852C80" w:rsidRDefault="00852C80" w:rsidP="009A537B">
            <w:pPr>
              <w:spacing w:after="120"/>
              <w:rPr>
                <w:rFonts w:ascii="Times New Roman" w:hAnsi="Times New Roman"/>
                <w:color w:val="000000"/>
                <w:szCs w:val="24"/>
              </w:rPr>
            </w:pPr>
          </w:p>
        </w:tc>
        <w:tc>
          <w:tcPr>
            <w:tcW w:w="6658" w:type="dxa"/>
            <w:shd w:val="clear" w:color="auto" w:fill="auto"/>
            <w:hideMark/>
          </w:tcPr>
          <w:p w14:paraId="398748D3" w14:textId="77777777" w:rsidR="00852C80" w:rsidRPr="00852C80" w:rsidRDefault="00852C80" w:rsidP="009A537B">
            <w:pPr>
              <w:spacing w:after="120"/>
              <w:rPr>
                <w:rFonts w:ascii="Times New Roman" w:hAnsi="Times New Roman"/>
                <w:color w:val="000000"/>
                <w:szCs w:val="24"/>
              </w:rPr>
            </w:pPr>
            <w:proofErr w:type="spellStart"/>
            <w:r w:rsidRPr="00852C80">
              <w:rPr>
                <w:rFonts w:ascii="Times New Roman" w:hAnsi="Times New Roman"/>
                <w:color w:val="000000"/>
                <w:szCs w:val="24"/>
              </w:rPr>
              <w:t>prereq</w:t>
            </w:r>
            <w:proofErr w:type="spellEnd"/>
            <w:r w:rsidRPr="00852C80">
              <w:rPr>
                <w:rFonts w:ascii="Times New Roman" w:hAnsi="Times New Roman"/>
                <w:color w:val="000000"/>
                <w:szCs w:val="24"/>
              </w:rPr>
              <w:t xml:space="preserve"> ("not COB") removed</w:t>
            </w:r>
          </w:p>
        </w:tc>
      </w:tr>
      <w:tr w:rsidR="00852C80" w:rsidRPr="00852C80" w14:paraId="43EC05CB" w14:textId="77777777" w:rsidTr="00187D9C">
        <w:trPr>
          <w:trHeight w:val="300"/>
        </w:trPr>
        <w:tc>
          <w:tcPr>
            <w:tcW w:w="1323" w:type="dxa"/>
            <w:vMerge w:val="restart"/>
            <w:shd w:val="clear" w:color="auto" w:fill="auto"/>
            <w:hideMark/>
          </w:tcPr>
          <w:p w14:paraId="58684895"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Health Sciences &amp; Professions</w:t>
            </w:r>
          </w:p>
        </w:tc>
        <w:tc>
          <w:tcPr>
            <w:tcW w:w="3442" w:type="dxa"/>
            <w:shd w:val="clear" w:color="auto" w:fill="auto"/>
            <w:hideMark/>
          </w:tcPr>
          <w:p w14:paraId="33B5549F"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NRSE 1111: Clinical Judgment I</w:t>
            </w:r>
          </w:p>
        </w:tc>
        <w:tc>
          <w:tcPr>
            <w:tcW w:w="1080" w:type="dxa"/>
            <w:shd w:val="clear" w:color="auto" w:fill="auto"/>
            <w:noWrap/>
            <w:hideMark/>
          </w:tcPr>
          <w:p w14:paraId="4E7C1F18"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BER</w:t>
            </w:r>
          </w:p>
        </w:tc>
        <w:tc>
          <w:tcPr>
            <w:tcW w:w="6658" w:type="dxa"/>
            <w:shd w:val="clear" w:color="auto" w:fill="auto"/>
            <w:hideMark/>
          </w:tcPr>
          <w:p w14:paraId="0AC1B290"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Descriptions, LOs, topics info; BRICKS added</w:t>
            </w:r>
          </w:p>
        </w:tc>
      </w:tr>
      <w:tr w:rsidR="00852C80" w:rsidRPr="00852C80" w14:paraId="284EED09" w14:textId="77777777" w:rsidTr="00187D9C">
        <w:trPr>
          <w:trHeight w:val="300"/>
        </w:trPr>
        <w:tc>
          <w:tcPr>
            <w:tcW w:w="1323" w:type="dxa"/>
            <w:vMerge/>
            <w:vAlign w:val="center"/>
            <w:hideMark/>
          </w:tcPr>
          <w:p w14:paraId="50A72186" w14:textId="77777777" w:rsidR="00852C80" w:rsidRPr="00852C80" w:rsidRDefault="00852C80" w:rsidP="009A537B">
            <w:pPr>
              <w:spacing w:after="120"/>
              <w:rPr>
                <w:rFonts w:ascii="Times New Roman" w:hAnsi="Times New Roman"/>
                <w:color w:val="000000"/>
                <w:szCs w:val="24"/>
              </w:rPr>
            </w:pPr>
          </w:p>
        </w:tc>
        <w:tc>
          <w:tcPr>
            <w:tcW w:w="3442" w:type="dxa"/>
            <w:shd w:val="clear" w:color="auto" w:fill="auto"/>
            <w:hideMark/>
          </w:tcPr>
          <w:p w14:paraId="36BDF749"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NRSE 4510: Professional Nursing Practice</w:t>
            </w:r>
          </w:p>
        </w:tc>
        <w:tc>
          <w:tcPr>
            <w:tcW w:w="1080" w:type="dxa"/>
            <w:shd w:val="clear" w:color="auto" w:fill="auto"/>
            <w:noWrap/>
            <w:hideMark/>
          </w:tcPr>
          <w:p w14:paraId="30C46AAF"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BER/BSL</w:t>
            </w:r>
          </w:p>
        </w:tc>
        <w:tc>
          <w:tcPr>
            <w:tcW w:w="6658" w:type="dxa"/>
            <w:shd w:val="clear" w:color="auto" w:fill="auto"/>
            <w:hideMark/>
          </w:tcPr>
          <w:p w14:paraId="7A3D9A21"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Descriptions, LOs, topics info; BRICKS added</w:t>
            </w:r>
          </w:p>
        </w:tc>
      </w:tr>
      <w:tr w:rsidR="00852C80" w:rsidRPr="00852C80" w14:paraId="0E0AE0B3" w14:textId="77777777" w:rsidTr="00187D9C">
        <w:trPr>
          <w:trHeight w:val="315"/>
        </w:trPr>
        <w:tc>
          <w:tcPr>
            <w:tcW w:w="1323" w:type="dxa"/>
            <w:vMerge/>
            <w:vAlign w:val="center"/>
            <w:hideMark/>
          </w:tcPr>
          <w:p w14:paraId="76E82E49" w14:textId="77777777" w:rsidR="00852C80" w:rsidRPr="00852C80" w:rsidRDefault="00852C80" w:rsidP="009A537B">
            <w:pPr>
              <w:spacing w:after="120"/>
              <w:rPr>
                <w:rFonts w:ascii="Times New Roman" w:hAnsi="Times New Roman"/>
                <w:color w:val="000000"/>
                <w:szCs w:val="24"/>
              </w:rPr>
            </w:pPr>
          </w:p>
        </w:tc>
        <w:tc>
          <w:tcPr>
            <w:tcW w:w="3442" w:type="dxa"/>
            <w:shd w:val="clear" w:color="auto" w:fill="auto"/>
            <w:hideMark/>
          </w:tcPr>
          <w:p w14:paraId="44449351"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NRSE 4570: Diversity</w:t>
            </w:r>
          </w:p>
        </w:tc>
        <w:tc>
          <w:tcPr>
            <w:tcW w:w="1080" w:type="dxa"/>
            <w:shd w:val="clear" w:color="auto" w:fill="auto"/>
            <w:noWrap/>
            <w:hideMark/>
          </w:tcPr>
          <w:p w14:paraId="15D45A61"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BDP</w:t>
            </w:r>
          </w:p>
        </w:tc>
        <w:tc>
          <w:tcPr>
            <w:tcW w:w="6658" w:type="dxa"/>
            <w:shd w:val="clear" w:color="auto" w:fill="auto"/>
            <w:hideMark/>
          </w:tcPr>
          <w:p w14:paraId="0E9BE773"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LOs; BRICKS added</w:t>
            </w:r>
          </w:p>
        </w:tc>
      </w:tr>
      <w:tr w:rsidR="00852C80" w:rsidRPr="00852C80" w14:paraId="01383923" w14:textId="77777777" w:rsidTr="00187D9C">
        <w:trPr>
          <w:trHeight w:val="300"/>
        </w:trPr>
        <w:tc>
          <w:tcPr>
            <w:tcW w:w="1323" w:type="dxa"/>
            <w:vMerge/>
            <w:vAlign w:val="center"/>
            <w:hideMark/>
          </w:tcPr>
          <w:p w14:paraId="525AF62A" w14:textId="77777777" w:rsidR="00852C80" w:rsidRPr="00852C80" w:rsidRDefault="00852C80" w:rsidP="009A537B">
            <w:pPr>
              <w:spacing w:after="120"/>
              <w:rPr>
                <w:rFonts w:ascii="Times New Roman" w:hAnsi="Times New Roman"/>
                <w:color w:val="000000"/>
                <w:szCs w:val="24"/>
              </w:rPr>
            </w:pPr>
          </w:p>
        </w:tc>
        <w:tc>
          <w:tcPr>
            <w:tcW w:w="3442" w:type="dxa"/>
            <w:shd w:val="clear" w:color="auto" w:fill="auto"/>
            <w:hideMark/>
          </w:tcPr>
          <w:p w14:paraId="06A27983"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NRSE 4600: Nursing Excellence</w:t>
            </w:r>
          </w:p>
        </w:tc>
        <w:tc>
          <w:tcPr>
            <w:tcW w:w="1080" w:type="dxa"/>
            <w:shd w:val="clear" w:color="auto" w:fill="auto"/>
            <w:noWrap/>
            <w:hideMark/>
          </w:tcPr>
          <w:p w14:paraId="221C384F"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BLD</w:t>
            </w:r>
          </w:p>
        </w:tc>
        <w:tc>
          <w:tcPr>
            <w:tcW w:w="6658" w:type="dxa"/>
            <w:shd w:val="clear" w:color="auto" w:fill="auto"/>
            <w:hideMark/>
          </w:tcPr>
          <w:p w14:paraId="2FA8FE80"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Descriptions, LOs, topics info; BRICKS added</w:t>
            </w:r>
          </w:p>
        </w:tc>
      </w:tr>
      <w:tr w:rsidR="00852C80" w:rsidRPr="00852C80" w14:paraId="0D2FB24D" w14:textId="77777777" w:rsidTr="00187D9C">
        <w:trPr>
          <w:trHeight w:val="300"/>
        </w:trPr>
        <w:tc>
          <w:tcPr>
            <w:tcW w:w="1323" w:type="dxa"/>
            <w:shd w:val="clear" w:color="auto" w:fill="auto"/>
            <w:hideMark/>
          </w:tcPr>
          <w:p w14:paraId="64F4B5E0"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Scripps</w:t>
            </w:r>
          </w:p>
        </w:tc>
        <w:tc>
          <w:tcPr>
            <w:tcW w:w="3442" w:type="dxa"/>
            <w:shd w:val="clear" w:color="auto" w:fill="auto"/>
            <w:hideMark/>
          </w:tcPr>
          <w:p w14:paraId="1AF23B21"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ITS 4310/5310: Privacy in the Internet Age</w:t>
            </w:r>
          </w:p>
        </w:tc>
        <w:tc>
          <w:tcPr>
            <w:tcW w:w="1080" w:type="dxa"/>
            <w:shd w:val="clear" w:color="auto" w:fill="auto"/>
            <w:noWrap/>
            <w:hideMark/>
          </w:tcPr>
          <w:p w14:paraId="59D31D61"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 xml:space="preserve">BER </w:t>
            </w:r>
          </w:p>
        </w:tc>
        <w:tc>
          <w:tcPr>
            <w:tcW w:w="6658" w:type="dxa"/>
            <w:shd w:val="clear" w:color="auto" w:fill="auto"/>
            <w:hideMark/>
          </w:tcPr>
          <w:p w14:paraId="131AFB84" w14:textId="77777777" w:rsidR="00852C80" w:rsidRPr="00852C80" w:rsidRDefault="00852C80" w:rsidP="009A537B">
            <w:pPr>
              <w:spacing w:after="120"/>
              <w:rPr>
                <w:rFonts w:ascii="Times New Roman" w:hAnsi="Times New Roman"/>
                <w:color w:val="000000"/>
                <w:szCs w:val="24"/>
              </w:rPr>
            </w:pPr>
            <w:r w:rsidRPr="00852C80">
              <w:rPr>
                <w:rFonts w:ascii="Times New Roman" w:hAnsi="Times New Roman"/>
                <w:color w:val="000000"/>
                <w:szCs w:val="24"/>
              </w:rPr>
              <w:t>Descriptions, LOs, topics &amp; texts; KGFs, BRICKS added to ECT 4310</w:t>
            </w:r>
          </w:p>
        </w:tc>
      </w:tr>
    </w:tbl>
    <w:p w14:paraId="79D7E20D" w14:textId="77777777" w:rsidR="00852C80" w:rsidRPr="00852C80" w:rsidRDefault="00852C80" w:rsidP="00852C80">
      <w:pPr>
        <w:rPr>
          <w:rFonts w:ascii="Times New Roman" w:hAnsi="Times New Roman"/>
          <w:szCs w:val="24"/>
        </w:rPr>
      </w:pPr>
    </w:p>
    <w:p w14:paraId="6A0801C2" w14:textId="77777777" w:rsidR="00852C80" w:rsidRPr="00852C80" w:rsidRDefault="00852C80" w:rsidP="00852C80">
      <w:pPr>
        <w:rPr>
          <w:rFonts w:ascii="Times New Roman" w:hAnsi="Times New Roman"/>
          <w:b/>
          <w:bCs/>
          <w:szCs w:val="24"/>
        </w:rPr>
      </w:pPr>
      <w:r w:rsidRPr="00852C80">
        <w:rPr>
          <w:rFonts w:ascii="Times New Roman" w:hAnsi="Times New Roman"/>
          <w:b/>
          <w:bCs/>
          <w:caps/>
          <w:szCs w:val="24"/>
        </w:rPr>
        <w:t>Expedited</w:t>
      </w:r>
      <w:r w:rsidRPr="00852C80">
        <w:rPr>
          <w:rFonts w:ascii="Times New Roman" w:hAnsi="Times New Roman"/>
          <w:b/>
          <w:bCs/>
          <w:szCs w:val="24"/>
        </w:rPr>
        <w:t xml:space="preserve"> COURSE CHANGE</w:t>
      </w:r>
    </w:p>
    <w:p w14:paraId="50386530" w14:textId="77777777" w:rsidR="00852C80" w:rsidRPr="00852C80" w:rsidRDefault="00852C80" w:rsidP="00852C80">
      <w:pPr>
        <w:rPr>
          <w:rFonts w:ascii="Times New Roman" w:hAnsi="Times New Roman"/>
          <w:szCs w:val="24"/>
        </w:rPr>
      </w:pPr>
    </w:p>
    <w:p w14:paraId="1E8EC9FE" w14:textId="77777777" w:rsidR="00852C80" w:rsidRPr="00852C80" w:rsidRDefault="00852C80" w:rsidP="00852C80">
      <w:pPr>
        <w:rPr>
          <w:rFonts w:ascii="Times New Roman" w:hAnsi="Times New Roman"/>
          <w:szCs w:val="24"/>
        </w:rPr>
      </w:pPr>
      <w:r w:rsidRPr="00852C80">
        <w:rPr>
          <w:rFonts w:ascii="Times New Roman" w:hAnsi="Times New Roman"/>
          <w:szCs w:val="24"/>
        </w:rPr>
        <w:t>CONS 3250: Principles of Customer Service</w:t>
      </w:r>
    </w:p>
    <w:p w14:paraId="66E7C9CC" w14:textId="77777777" w:rsidR="00852C80" w:rsidRPr="00852C80" w:rsidRDefault="00852C80" w:rsidP="00852C80">
      <w:pPr>
        <w:rPr>
          <w:rFonts w:ascii="Times New Roman" w:hAnsi="Times New Roman"/>
          <w:szCs w:val="24"/>
        </w:rPr>
      </w:pPr>
    </w:p>
    <w:p w14:paraId="65357D9C" w14:textId="77777777" w:rsidR="00852C80" w:rsidRPr="00852C80" w:rsidRDefault="00852C80" w:rsidP="00852C80">
      <w:pPr>
        <w:rPr>
          <w:rFonts w:ascii="Times New Roman" w:hAnsi="Times New Roman"/>
          <w:b/>
          <w:bCs/>
          <w:szCs w:val="24"/>
        </w:rPr>
      </w:pPr>
      <w:r w:rsidRPr="00852C80">
        <w:rPr>
          <w:rFonts w:ascii="Times New Roman" w:hAnsi="Times New Roman"/>
          <w:b/>
          <w:bCs/>
          <w:szCs w:val="24"/>
        </w:rPr>
        <w:t>DEACTIVATIONS</w:t>
      </w:r>
    </w:p>
    <w:p w14:paraId="5020B618" w14:textId="77777777" w:rsidR="00852C80" w:rsidRPr="00852C80" w:rsidRDefault="00852C80" w:rsidP="00852C80">
      <w:pPr>
        <w:rPr>
          <w:rFonts w:ascii="Times New Roman" w:hAnsi="Times New Roman"/>
          <w:b/>
          <w:bCs/>
          <w:szCs w:val="24"/>
        </w:rPr>
      </w:pPr>
    </w:p>
    <w:p w14:paraId="11F68A31" w14:textId="77777777" w:rsidR="00852C80" w:rsidRPr="00852C80" w:rsidRDefault="00852C80" w:rsidP="00852C80">
      <w:pPr>
        <w:rPr>
          <w:rFonts w:ascii="Times New Roman" w:hAnsi="Times New Roman"/>
          <w:szCs w:val="24"/>
        </w:rPr>
      </w:pPr>
      <w:r w:rsidRPr="00852C80">
        <w:rPr>
          <w:rFonts w:ascii="Times New Roman" w:hAnsi="Times New Roman"/>
          <w:szCs w:val="24"/>
        </w:rPr>
        <w:t>REC 3130: Fitness and Wellness Programs in Campus</w:t>
      </w:r>
    </w:p>
    <w:p w14:paraId="09DD2142" w14:textId="072D1318" w:rsidR="00852C80" w:rsidRDefault="00852C80" w:rsidP="0042523D">
      <w:pPr>
        <w:rPr>
          <w:rFonts w:ascii="Times New Roman" w:hAnsi="Times New Roman"/>
          <w:szCs w:val="24"/>
        </w:rPr>
      </w:pPr>
      <w:r w:rsidRPr="00852C80">
        <w:rPr>
          <w:rFonts w:ascii="Times New Roman" w:hAnsi="Times New Roman"/>
          <w:szCs w:val="24"/>
        </w:rPr>
        <w:t>REC 3160: Social Programming and Special Events in Campus Recreation</w:t>
      </w:r>
    </w:p>
    <w:p w14:paraId="67422F99" w14:textId="77777777" w:rsidR="00FC782C" w:rsidRDefault="00FC782C" w:rsidP="0042523D">
      <w:pPr>
        <w:rPr>
          <w:rFonts w:ascii="Times New Roman" w:hAnsi="Times New Roman"/>
          <w:szCs w:val="24"/>
        </w:rPr>
      </w:pPr>
    </w:p>
    <w:p w14:paraId="6B687B6E" w14:textId="77777777" w:rsidR="00852C80" w:rsidRPr="0057405F" w:rsidRDefault="00852C80" w:rsidP="0042523D">
      <w:pPr>
        <w:rPr>
          <w:rFonts w:ascii="Times New Roman" w:hAnsi="Times New Roman"/>
          <w:szCs w:val="24"/>
        </w:rPr>
      </w:pPr>
    </w:p>
    <w:p w14:paraId="4DC3D686" w14:textId="0B7E4421"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00F10DA2">
        <w:rPr>
          <w:rFonts w:ascii="Times New Roman" w:hAnsi="Times New Roman"/>
          <w:color w:val="000000"/>
          <w:szCs w:val="24"/>
        </w:rPr>
        <w:t xml:space="preserve">Todd </w:t>
      </w:r>
      <w:proofErr w:type="spellStart"/>
      <w:r w:rsidR="00F10DA2">
        <w:rPr>
          <w:rFonts w:ascii="Times New Roman" w:hAnsi="Times New Roman"/>
          <w:color w:val="000000"/>
          <w:szCs w:val="24"/>
        </w:rPr>
        <w:t>Eisworth</w:t>
      </w:r>
      <w:proofErr w:type="spellEnd"/>
      <w:r w:rsidR="000C05EE" w:rsidRPr="0057405F">
        <w:rPr>
          <w:rFonts w:ascii="Times New Roman" w:hAnsi="Times New Roman"/>
          <w:color w:val="000000"/>
          <w:szCs w:val="24"/>
        </w:rPr>
        <w:t>, Chair</w:t>
      </w:r>
    </w:p>
    <w:p w14:paraId="19931D48" w14:textId="77777777" w:rsidR="00147C64" w:rsidRPr="00496135" w:rsidRDefault="00147C64" w:rsidP="0076398B">
      <w:pPr>
        <w:pStyle w:val="BodyText"/>
        <w:numPr>
          <w:ilvl w:val="0"/>
          <w:numId w:val="10"/>
        </w:numPr>
        <w:ind w:right="40"/>
        <w:rPr>
          <w:spacing w:val="21"/>
          <w:w w:val="99"/>
          <w:sz w:val="22"/>
          <w:szCs w:val="22"/>
        </w:rPr>
      </w:pPr>
      <w:r w:rsidRPr="00496135">
        <w:rPr>
          <w:spacing w:val="-1"/>
          <w:sz w:val="22"/>
          <w:szCs w:val="22"/>
        </w:rPr>
        <w:t>Policy</w:t>
      </w:r>
      <w:r w:rsidRPr="00496135">
        <w:rPr>
          <w:spacing w:val="-7"/>
          <w:sz w:val="22"/>
          <w:szCs w:val="22"/>
        </w:rPr>
        <w:t xml:space="preserve"> </w:t>
      </w:r>
      <w:r w:rsidRPr="00496135">
        <w:rPr>
          <w:sz w:val="22"/>
          <w:szCs w:val="22"/>
        </w:rPr>
        <w:t>on</w:t>
      </w:r>
      <w:r w:rsidRPr="00496135">
        <w:rPr>
          <w:spacing w:val="-6"/>
          <w:sz w:val="22"/>
          <w:szCs w:val="22"/>
        </w:rPr>
        <w:t xml:space="preserve"> </w:t>
      </w:r>
      <w:r>
        <w:rPr>
          <w:spacing w:val="-6"/>
          <w:sz w:val="22"/>
          <w:szCs w:val="22"/>
        </w:rPr>
        <w:t xml:space="preserve">Conditional Approval and Appeal Process for select </w:t>
      </w:r>
      <w:r w:rsidRPr="00496135">
        <w:rPr>
          <w:spacing w:val="-6"/>
          <w:sz w:val="22"/>
          <w:szCs w:val="22"/>
        </w:rPr>
        <w:t>BRICKS components</w:t>
      </w:r>
    </w:p>
    <w:p w14:paraId="15971F1E" w14:textId="77777777" w:rsidR="00147C64" w:rsidRDefault="00147C64" w:rsidP="0076398B">
      <w:pPr>
        <w:pStyle w:val="ListParagraph"/>
        <w:numPr>
          <w:ilvl w:val="0"/>
          <w:numId w:val="10"/>
        </w:numPr>
        <w:rPr>
          <w:bCs/>
          <w:szCs w:val="24"/>
        </w:rPr>
      </w:pPr>
      <w:r w:rsidRPr="00147C64">
        <w:rPr>
          <w:bCs/>
          <w:szCs w:val="24"/>
        </w:rPr>
        <w:t>New ODHE 3.21 vs BRICKS Revised Suggestions</w:t>
      </w:r>
    </w:p>
    <w:p w14:paraId="24A89F5B" w14:textId="47511F30" w:rsidR="00C75A96" w:rsidRPr="00147C64" w:rsidRDefault="00147C64" w:rsidP="0076398B">
      <w:pPr>
        <w:pStyle w:val="ListParagraph"/>
        <w:numPr>
          <w:ilvl w:val="0"/>
          <w:numId w:val="10"/>
        </w:numPr>
        <w:rPr>
          <w:bCs/>
          <w:szCs w:val="24"/>
        </w:rPr>
      </w:pPr>
      <w:r>
        <w:t>Reimagining General Education Leadership Team</w:t>
      </w:r>
    </w:p>
    <w:p w14:paraId="2EC4451B" w14:textId="77777777" w:rsidR="00111455" w:rsidRPr="00335DE0" w:rsidRDefault="00111455" w:rsidP="00111455">
      <w:pPr>
        <w:outlineLvl w:val="0"/>
        <w:rPr>
          <w:rFonts w:ascii="Times New Roman" w:hAnsi="Times New Roman"/>
          <w:b/>
          <w:szCs w:val="24"/>
        </w:rPr>
      </w:pPr>
      <w:r w:rsidRPr="00335DE0">
        <w:rPr>
          <w:rFonts w:ascii="Times New Roman" w:hAnsi="Times New Roman"/>
          <w:b/>
          <w:szCs w:val="24"/>
        </w:rPr>
        <w:t>Adjournment:</w:t>
      </w:r>
    </w:p>
    <w:p w14:paraId="3A9BF8F9" w14:textId="7CB4710B" w:rsidR="00111455" w:rsidRPr="00335DE0" w:rsidRDefault="00D61E24" w:rsidP="00325C80">
      <w:pPr>
        <w:numPr>
          <w:ilvl w:val="0"/>
          <w:numId w:val="1"/>
        </w:numPr>
        <w:outlineLvl w:val="0"/>
        <w:rPr>
          <w:rFonts w:ascii="Times New Roman" w:hAnsi="Times New Roman"/>
          <w:szCs w:val="24"/>
        </w:rPr>
      </w:pPr>
      <w:r w:rsidRPr="00335DE0">
        <w:rPr>
          <w:rFonts w:ascii="Times New Roman" w:hAnsi="Times New Roman"/>
          <w:szCs w:val="24"/>
        </w:rPr>
        <w:t>The meeting adjo</w:t>
      </w:r>
      <w:r w:rsidR="001F1AA9" w:rsidRPr="00335DE0">
        <w:rPr>
          <w:rFonts w:ascii="Times New Roman" w:hAnsi="Times New Roman"/>
          <w:szCs w:val="24"/>
        </w:rPr>
        <w:t xml:space="preserve">urned at </w:t>
      </w:r>
      <w:r w:rsidR="00147C64">
        <w:rPr>
          <w:rFonts w:ascii="Times New Roman" w:hAnsi="Times New Roman"/>
          <w:szCs w:val="24"/>
        </w:rPr>
        <w:t>3:55</w:t>
      </w:r>
      <w:r w:rsidR="00111455" w:rsidRPr="00335DE0">
        <w:rPr>
          <w:rFonts w:ascii="Times New Roman" w:hAnsi="Times New Roman"/>
          <w:szCs w:val="24"/>
        </w:rPr>
        <w:t xml:space="preserve"> p.m.</w:t>
      </w:r>
    </w:p>
    <w:p w14:paraId="0CAB2BF9" w14:textId="77777777" w:rsidR="00111455" w:rsidRPr="00335DE0" w:rsidRDefault="00111455" w:rsidP="00111455">
      <w:pPr>
        <w:outlineLvl w:val="0"/>
        <w:rPr>
          <w:rFonts w:ascii="Times New Roman" w:hAnsi="Times New Roman"/>
          <w:szCs w:val="24"/>
        </w:rPr>
      </w:pPr>
    </w:p>
    <w:p w14:paraId="76A8DC73" w14:textId="35E77A17" w:rsidR="00210C73" w:rsidRPr="00335DE0" w:rsidRDefault="00111455" w:rsidP="008A17C5">
      <w:pPr>
        <w:outlineLvl w:val="0"/>
        <w:rPr>
          <w:rFonts w:ascii="Times New Roman" w:hAnsi="Times New Roman"/>
          <w:szCs w:val="24"/>
        </w:rPr>
      </w:pPr>
      <w:r w:rsidRPr="00335DE0">
        <w:rPr>
          <w:rFonts w:ascii="Times New Roman" w:hAnsi="Times New Roman"/>
          <w:szCs w:val="24"/>
        </w:rPr>
        <w:t>Submitted by: Angie Brock, University Curriculum Council, Administrative Assistant</w:t>
      </w:r>
    </w:p>
    <w:sectPr w:rsidR="00210C73" w:rsidRPr="00335DE0" w:rsidSect="000B642D">
      <w:footerReference w:type="default" r:id="rId11"/>
      <w:footerReference w:type="first" r:id="rId1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F62D" w14:textId="77777777" w:rsidR="0076398B" w:rsidRDefault="0076398B" w:rsidP="0074614C">
      <w:r>
        <w:separator/>
      </w:r>
    </w:p>
  </w:endnote>
  <w:endnote w:type="continuationSeparator" w:id="0">
    <w:p w14:paraId="4715176D" w14:textId="77777777" w:rsidR="0076398B" w:rsidRDefault="0076398B"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㯩虐=ᐠ䤷羯"/>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76D77AAE"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 xml:space="preserve">UCC Minutes </w:t>
    </w:r>
    <w:r w:rsidR="00E31877">
      <w:rPr>
        <w:rFonts w:ascii="Calibri" w:hAnsi="Calibri"/>
        <w:sz w:val="18"/>
        <w:szCs w:val="18"/>
      </w:rPr>
      <w:t>September 14</w:t>
    </w:r>
    <w:r>
      <w:rPr>
        <w:rFonts w:ascii="Calibri" w:hAnsi="Calibri"/>
        <w:sz w:val="18"/>
        <w:szCs w:val="18"/>
      </w:rPr>
      <w:t>, 2021</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A296" w14:textId="77777777" w:rsidR="0076398B" w:rsidRDefault="0076398B" w:rsidP="0074614C">
      <w:r>
        <w:separator/>
      </w:r>
    </w:p>
  </w:footnote>
  <w:footnote w:type="continuationSeparator" w:id="0">
    <w:p w14:paraId="4A905200" w14:textId="77777777" w:rsidR="0076398B" w:rsidRDefault="0076398B"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9E9"/>
    <w:multiLevelType w:val="hybridMultilevel"/>
    <w:tmpl w:val="3B7E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0736"/>
    <w:multiLevelType w:val="hybridMultilevel"/>
    <w:tmpl w:val="B2B8C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076B0"/>
    <w:multiLevelType w:val="hybridMultilevel"/>
    <w:tmpl w:val="CC80E652"/>
    <w:lvl w:ilvl="0" w:tplc="6E5C542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FC1F2B"/>
    <w:multiLevelType w:val="hybridMultilevel"/>
    <w:tmpl w:val="0C3CCD4E"/>
    <w:lvl w:ilvl="0" w:tplc="ACF8492C">
      <w:start w:val="1"/>
      <w:numFmt w:val="decimal"/>
      <w:lvlText w:val="%1."/>
      <w:lvlJc w:val="left"/>
      <w:pPr>
        <w:ind w:left="360" w:hanging="360"/>
      </w:pPr>
      <w:rPr>
        <w:rFonts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CD90CDC"/>
    <w:multiLevelType w:val="hybridMultilevel"/>
    <w:tmpl w:val="55E4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42537"/>
    <w:multiLevelType w:val="hybridMultilevel"/>
    <w:tmpl w:val="E6A6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9"/>
  </w:num>
  <w:num w:numId="7">
    <w:abstractNumId w:val="4"/>
  </w:num>
  <w:num w:numId="8">
    <w:abstractNumId w:val="10"/>
  </w:num>
  <w:num w:numId="9">
    <w:abstractNumId w:val="7"/>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15C38"/>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39A0"/>
    <w:rsid w:val="00055796"/>
    <w:rsid w:val="00057487"/>
    <w:rsid w:val="000605AE"/>
    <w:rsid w:val="000605E7"/>
    <w:rsid w:val="00061619"/>
    <w:rsid w:val="00061ADC"/>
    <w:rsid w:val="00065512"/>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2AF8"/>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DF3"/>
    <w:rsid w:val="00133E43"/>
    <w:rsid w:val="001343CB"/>
    <w:rsid w:val="0013454A"/>
    <w:rsid w:val="00135A3A"/>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70B"/>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77D1"/>
    <w:rsid w:val="001A7DA7"/>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495"/>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927"/>
    <w:rsid w:val="00316B7E"/>
    <w:rsid w:val="003171D7"/>
    <w:rsid w:val="003179E0"/>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5057C"/>
    <w:rsid w:val="0035156F"/>
    <w:rsid w:val="00353191"/>
    <w:rsid w:val="00353D54"/>
    <w:rsid w:val="003543F1"/>
    <w:rsid w:val="003544C8"/>
    <w:rsid w:val="00355B41"/>
    <w:rsid w:val="0035607F"/>
    <w:rsid w:val="00356868"/>
    <w:rsid w:val="00356DE9"/>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C83"/>
    <w:rsid w:val="0044614C"/>
    <w:rsid w:val="00447613"/>
    <w:rsid w:val="0044794C"/>
    <w:rsid w:val="00450E4D"/>
    <w:rsid w:val="00451597"/>
    <w:rsid w:val="00451ABC"/>
    <w:rsid w:val="004536A2"/>
    <w:rsid w:val="004546DB"/>
    <w:rsid w:val="004553C7"/>
    <w:rsid w:val="004567CA"/>
    <w:rsid w:val="00456F2E"/>
    <w:rsid w:val="00460805"/>
    <w:rsid w:val="00460C1E"/>
    <w:rsid w:val="00463BBF"/>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DA"/>
    <w:rsid w:val="0054585A"/>
    <w:rsid w:val="0054688E"/>
    <w:rsid w:val="00546B1A"/>
    <w:rsid w:val="00547669"/>
    <w:rsid w:val="005503DE"/>
    <w:rsid w:val="0055093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113D7"/>
    <w:rsid w:val="00712058"/>
    <w:rsid w:val="00712239"/>
    <w:rsid w:val="007139F5"/>
    <w:rsid w:val="00714047"/>
    <w:rsid w:val="0071489F"/>
    <w:rsid w:val="00714AB7"/>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9E4"/>
    <w:rsid w:val="00915075"/>
    <w:rsid w:val="00915332"/>
    <w:rsid w:val="00915477"/>
    <w:rsid w:val="00916712"/>
    <w:rsid w:val="00920C61"/>
    <w:rsid w:val="00920F6D"/>
    <w:rsid w:val="00923AE8"/>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7772"/>
    <w:rsid w:val="00B70BEF"/>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4065"/>
    <w:rsid w:val="00C3476C"/>
    <w:rsid w:val="00C35156"/>
    <w:rsid w:val="00C3582A"/>
    <w:rsid w:val="00C36704"/>
    <w:rsid w:val="00C40896"/>
    <w:rsid w:val="00C42D2F"/>
    <w:rsid w:val="00C45953"/>
    <w:rsid w:val="00C46413"/>
    <w:rsid w:val="00C47605"/>
    <w:rsid w:val="00C5001E"/>
    <w:rsid w:val="00C51645"/>
    <w:rsid w:val="00C51BF1"/>
    <w:rsid w:val="00C52E34"/>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A6E"/>
    <w:rsid w:val="00DD3FE4"/>
    <w:rsid w:val="00DD74DC"/>
    <w:rsid w:val="00DE06FD"/>
    <w:rsid w:val="00DE118A"/>
    <w:rsid w:val="00DE1E9B"/>
    <w:rsid w:val="00DE2D3C"/>
    <w:rsid w:val="00DE2E48"/>
    <w:rsid w:val="00DE43F6"/>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DA2"/>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E0AB8"/>
    <w:rsid w:val="00FE4013"/>
    <w:rsid w:val="00FE402F"/>
    <w:rsid w:val="00FE4C12"/>
    <w:rsid w:val="00FE527B"/>
    <w:rsid w:val="00FE5532"/>
    <w:rsid w:val="00FE6592"/>
    <w:rsid w:val="00FE74BE"/>
    <w:rsid w:val="00FE7678"/>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10</cp:revision>
  <cp:lastPrinted>2020-12-17T19:44:00Z</cp:lastPrinted>
  <dcterms:created xsi:type="dcterms:W3CDTF">2021-07-07T13:24:00Z</dcterms:created>
  <dcterms:modified xsi:type="dcterms:W3CDTF">2021-10-05T14:53:00Z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