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7BB75" w14:textId="6E169888" w:rsidR="001C7B4D" w:rsidRDefault="004E0511" w:rsidP="000E6E66">
      <w:r>
        <w:t> </w:t>
      </w:r>
      <w:bookmarkStart w:id="0" w:name="_GoBack"/>
      <w:bookmarkEnd w:id="0"/>
    </w:p>
    <w:p w14:paraId="43504684" w14:textId="2F431B5A" w:rsidR="00D40560" w:rsidRDefault="00767183" w:rsidP="00D40560">
      <w:pPr>
        <w:jc w:val="center"/>
        <w:rPr>
          <w:b/>
        </w:rPr>
      </w:pPr>
      <w:r>
        <w:rPr>
          <w:b/>
        </w:rPr>
        <w:t xml:space="preserve">Sense of the Senate </w:t>
      </w:r>
      <w:r w:rsidR="00D40560" w:rsidRPr="004F74AA">
        <w:rPr>
          <w:b/>
        </w:rPr>
        <w:t xml:space="preserve">Resolution on </w:t>
      </w:r>
    </w:p>
    <w:p w14:paraId="4DCDB429" w14:textId="678569ED" w:rsidR="00767183" w:rsidRDefault="00767183" w:rsidP="00D40560">
      <w:pPr>
        <w:jc w:val="center"/>
      </w:pPr>
      <w:r w:rsidRPr="00767183">
        <w:rPr>
          <w:b/>
          <w:bCs/>
        </w:rPr>
        <w:t>Guiding Principles on</w:t>
      </w:r>
      <w:r w:rsidR="002600F6">
        <w:t xml:space="preserve"> </w:t>
      </w:r>
      <w:r w:rsidR="00D40560">
        <w:rPr>
          <w:b/>
        </w:rPr>
        <w:t>Revising Departmental/School Promotion and Tenure and Promotion Documents</w:t>
      </w:r>
      <w:r w:rsidR="002600F6">
        <w:rPr>
          <w:b/>
        </w:rPr>
        <w:t xml:space="preserve"> </w:t>
      </w:r>
      <w:r w:rsidR="002600F6" w:rsidRPr="00767183">
        <w:rPr>
          <w:b/>
        </w:rPr>
        <w:t xml:space="preserve">for </w:t>
      </w:r>
      <w:proofErr w:type="spellStart"/>
      <w:r w:rsidR="002600F6" w:rsidRPr="00767183">
        <w:rPr>
          <w:b/>
        </w:rPr>
        <w:t>OneOHIO</w:t>
      </w:r>
      <w:proofErr w:type="spellEnd"/>
    </w:p>
    <w:p w14:paraId="2804F4E0" w14:textId="2FB1A9D9" w:rsidR="00D40560" w:rsidRDefault="00D40560" w:rsidP="00D40560">
      <w:pPr>
        <w:jc w:val="center"/>
        <w:rPr>
          <w:b/>
        </w:rPr>
      </w:pPr>
      <w:r w:rsidRPr="005361A6">
        <w:rPr>
          <w:b/>
        </w:rPr>
        <w:t xml:space="preserve">Promotion </w:t>
      </w:r>
      <w:r>
        <w:rPr>
          <w:b/>
        </w:rPr>
        <w:t>&amp;</w:t>
      </w:r>
      <w:r w:rsidRPr="005361A6">
        <w:rPr>
          <w:b/>
        </w:rPr>
        <w:t xml:space="preserve"> Tenure </w:t>
      </w:r>
      <w:r>
        <w:rPr>
          <w:b/>
        </w:rPr>
        <w:t>and</w:t>
      </w:r>
      <w:r w:rsidRPr="005361A6">
        <w:rPr>
          <w:b/>
        </w:rPr>
        <w:t xml:space="preserve"> Professional Relations Committees</w:t>
      </w:r>
    </w:p>
    <w:p w14:paraId="6132ED0C" w14:textId="77777777" w:rsidR="00D40560" w:rsidRPr="005361A6" w:rsidRDefault="00D40560" w:rsidP="00D40560">
      <w:pPr>
        <w:jc w:val="center"/>
        <w:rPr>
          <w:b/>
        </w:rPr>
      </w:pPr>
      <w:r>
        <w:rPr>
          <w:b/>
        </w:rPr>
        <w:t>First Reading</w:t>
      </w:r>
    </w:p>
    <w:p w14:paraId="79BCBD9F" w14:textId="1083BE82" w:rsidR="00D40560" w:rsidRPr="00CE1403" w:rsidRDefault="00D40560" w:rsidP="00D40560">
      <w:pPr>
        <w:jc w:val="center"/>
        <w:rPr>
          <w:b/>
        </w:rPr>
      </w:pPr>
      <w:r>
        <w:rPr>
          <w:b/>
        </w:rPr>
        <w:t>February 3, 2020</w:t>
      </w:r>
    </w:p>
    <w:p w14:paraId="5E75A349" w14:textId="77777777" w:rsidR="00D40560" w:rsidRDefault="00D40560" w:rsidP="001C7B4D">
      <w:pPr>
        <w:rPr>
          <w:b/>
          <w:bCs/>
        </w:rPr>
      </w:pPr>
    </w:p>
    <w:p w14:paraId="0C6E616F" w14:textId="77777777" w:rsidR="001C7B4D" w:rsidRDefault="001C7B4D" w:rsidP="001C7B4D"/>
    <w:p w14:paraId="4693DA9F" w14:textId="19ACBE38" w:rsidR="002600F6" w:rsidRDefault="002600F6" w:rsidP="002600F6">
      <w:r>
        <w:rPr>
          <w:b/>
          <w:bCs/>
        </w:rPr>
        <w:t xml:space="preserve">Whereas </w:t>
      </w:r>
      <w:r w:rsidRPr="00F072C5">
        <w:t>the faculty handbook states that</w:t>
      </w:r>
      <w:r>
        <w:rPr>
          <w:b/>
          <w:bCs/>
        </w:rPr>
        <w:t xml:space="preserve"> “</w:t>
      </w:r>
      <w:r w:rsidRPr="00547CCB">
        <w:t>The criteria used to make decisions on promotion and tenure must originate in the department, school, or division in</w:t>
      </w:r>
      <w:r>
        <w:t xml:space="preserve"> </w:t>
      </w:r>
      <w:r w:rsidRPr="00547CCB">
        <w:t xml:space="preserve">consultation with the dean. </w:t>
      </w:r>
      <w:r>
        <w:t xml:space="preserve">… </w:t>
      </w:r>
      <w:r w:rsidRPr="00547CCB">
        <w:t xml:space="preserve">These criteria and any changes made to them must be approved by a majority of the </w:t>
      </w:r>
      <w:r w:rsidR="00292BE9">
        <w:t>Tenure Track</w:t>
      </w:r>
      <w:r w:rsidRPr="00547CCB">
        <w:t xml:space="preserve"> faculty of the department/school/division.</w:t>
      </w:r>
      <w:r w:rsidR="005624AE">
        <w:t>”</w:t>
      </w:r>
      <w:r>
        <w:t xml:space="preserve"> </w:t>
      </w:r>
      <w:r w:rsidRPr="00AA5DE0">
        <w:t>(</w:t>
      </w:r>
      <w:r>
        <w:t>Faculty Handbook II.C.6</w:t>
      </w:r>
      <w:r w:rsidRPr="00AA5DE0">
        <w:t xml:space="preserve">. </w:t>
      </w:r>
      <w:r>
        <w:t>Faculty Tenure</w:t>
      </w:r>
      <w:r w:rsidRPr="00AA5DE0">
        <w:t>);</w:t>
      </w:r>
    </w:p>
    <w:p w14:paraId="3136EEE3" w14:textId="77777777" w:rsidR="002600F6" w:rsidRDefault="002600F6" w:rsidP="002600F6"/>
    <w:p w14:paraId="23774E3D" w14:textId="08FD9FF4" w:rsidR="002600F6" w:rsidRDefault="00292BE9" w:rsidP="002600F6">
      <w:r w:rsidRPr="00C1400C">
        <w:rPr>
          <w:b/>
          <w:bCs/>
        </w:rPr>
        <w:t>Whereas</w:t>
      </w:r>
      <w:r>
        <w:t xml:space="preserve"> </w:t>
      </w:r>
      <w:r w:rsidR="006D3842">
        <w:t xml:space="preserve">the faculty handbook also states that </w:t>
      </w:r>
      <w:r>
        <w:t>“</w:t>
      </w:r>
      <w:r w:rsidR="002600F6" w:rsidRPr="00547CCB">
        <w:t xml:space="preserve">If a college or regional campus has written promotion and tenure criteria, these criteria and any changes made to them should originate in meetings of faculty, as a whole or by committee in consultation with the dean. The criteria and any changes made to them must be approved by the </w:t>
      </w:r>
      <w:r>
        <w:t>Tenure track</w:t>
      </w:r>
      <w:r w:rsidR="002600F6" w:rsidRPr="00547CCB">
        <w:t xml:space="preserve"> faculty in the college or campus.</w:t>
      </w:r>
      <w:r>
        <w:t>”</w:t>
      </w:r>
      <w:r w:rsidR="002600F6">
        <w:t xml:space="preserve"> </w:t>
      </w:r>
      <w:r w:rsidR="002600F6" w:rsidRPr="00AA5DE0">
        <w:t>(</w:t>
      </w:r>
      <w:r w:rsidR="002600F6">
        <w:t>Faculty Handbook II.C.6</w:t>
      </w:r>
      <w:r w:rsidR="002600F6" w:rsidRPr="00AA5DE0">
        <w:t xml:space="preserve">. </w:t>
      </w:r>
      <w:r w:rsidR="002600F6">
        <w:t>Faculty Tenure</w:t>
      </w:r>
      <w:r w:rsidR="002600F6" w:rsidRPr="00AA5DE0">
        <w:t>)</w:t>
      </w:r>
      <w:r w:rsidR="006D3842">
        <w:t>;</w:t>
      </w:r>
    </w:p>
    <w:p w14:paraId="04911A92" w14:textId="4DB4F5A8" w:rsidR="006D1A53" w:rsidRDefault="006D1A53" w:rsidP="002600F6"/>
    <w:p w14:paraId="324104B9" w14:textId="3B23951B" w:rsidR="006D1A53" w:rsidRDefault="006D1A53" w:rsidP="002600F6">
      <w:r w:rsidRPr="006D1A53">
        <w:rPr>
          <w:b/>
          <w:bCs/>
        </w:rPr>
        <w:t>Whereas</w:t>
      </w:r>
      <w:r>
        <w:t xml:space="preserve"> faculty from regional campuses </w:t>
      </w:r>
      <w:r w:rsidR="007C68F1">
        <w:t>are a valuable resource for</w:t>
      </w:r>
      <w:r>
        <w:t xml:space="preserve"> models for tenure and promotion and promotion of faculty on workload</w:t>
      </w:r>
      <w:r w:rsidR="007C68F1">
        <w:t>s that may be more teaching intensive</w:t>
      </w:r>
      <w:r w:rsidR="006D3842">
        <w:t>;</w:t>
      </w:r>
    </w:p>
    <w:p w14:paraId="20C4519C" w14:textId="77777777" w:rsidR="00767183" w:rsidRDefault="00767183" w:rsidP="002600F6"/>
    <w:p w14:paraId="7000C072" w14:textId="3FC85A69" w:rsidR="00D40560" w:rsidRDefault="001C7B4D" w:rsidP="001C7B4D">
      <w:r w:rsidRPr="00AA5DE0">
        <w:rPr>
          <w:b/>
          <w:bCs/>
        </w:rPr>
        <w:t>Be it resolved</w:t>
      </w:r>
      <w:r w:rsidRPr="00AA5DE0">
        <w:t xml:space="preserve"> that </w:t>
      </w:r>
      <w:r>
        <w:t xml:space="preserve">all </w:t>
      </w:r>
      <w:r w:rsidR="005624AE">
        <w:t xml:space="preserve">colleges and </w:t>
      </w:r>
      <w:r w:rsidR="006D3842">
        <w:t>schools/</w:t>
      </w:r>
      <w:r>
        <w:t xml:space="preserve">departments on the Athens campus review their promotion and tenure </w:t>
      </w:r>
      <w:r w:rsidR="00D40560">
        <w:t>document</w:t>
      </w:r>
      <w:r w:rsidR="009B19E0">
        <w:t>s</w:t>
      </w:r>
      <w:r w:rsidR="00D40560">
        <w:t xml:space="preserve"> </w:t>
      </w:r>
      <w:r w:rsidR="006D1A53">
        <w:t xml:space="preserve">as necessary for the One OHIO integration </w:t>
      </w:r>
      <w:r w:rsidR="00767183">
        <w:t xml:space="preserve">and </w:t>
      </w:r>
      <w:r>
        <w:t xml:space="preserve">revise those documents to include </w:t>
      </w:r>
      <w:r w:rsidR="006D1A53">
        <w:t xml:space="preserve">differential </w:t>
      </w:r>
      <w:r>
        <w:t>workload distribution</w:t>
      </w:r>
      <w:r w:rsidR="006D1A53">
        <w:t>s</w:t>
      </w:r>
      <w:r w:rsidR="007C68F1">
        <w:t xml:space="preserve"> and</w:t>
      </w:r>
      <w:r w:rsidR="006D1A53">
        <w:t xml:space="preserve"> to</w:t>
      </w:r>
      <w:r>
        <w:t xml:space="preserve"> provide pathways for promotion </w:t>
      </w:r>
      <w:r w:rsidR="006D3842">
        <w:t xml:space="preserve">of tenured associate professors, </w:t>
      </w:r>
      <w:r w:rsidR="006D1A53">
        <w:t xml:space="preserve">and promotion </w:t>
      </w:r>
      <w:r>
        <w:t xml:space="preserve">and tenure </w:t>
      </w:r>
      <w:r w:rsidR="006D1A53">
        <w:t xml:space="preserve">of tenure track faculty </w:t>
      </w:r>
      <w:r>
        <w:t>reflecting the differential workload distributions of faculty</w:t>
      </w:r>
      <w:r w:rsidR="006D1A53">
        <w:t xml:space="preserve"> after </w:t>
      </w:r>
      <w:r w:rsidR="006D3842">
        <w:t xml:space="preserve">the </w:t>
      </w:r>
      <w:r w:rsidR="006D1A53">
        <w:t>One OHIO integration</w:t>
      </w:r>
      <w:r w:rsidR="00D40560">
        <w:t>;</w:t>
      </w:r>
    </w:p>
    <w:p w14:paraId="30AA2D20" w14:textId="0B91DF5F" w:rsidR="005624AE" w:rsidRDefault="005624AE" w:rsidP="001C7B4D"/>
    <w:p w14:paraId="415A767C" w14:textId="7620EBFA" w:rsidR="006D1A53" w:rsidRDefault="006D1A53" w:rsidP="006D1A53">
      <w:r w:rsidRPr="00C1400C">
        <w:rPr>
          <w:b/>
          <w:bCs/>
        </w:rPr>
        <w:t xml:space="preserve">Be it </w:t>
      </w:r>
      <w:r w:rsidR="006D3842">
        <w:rPr>
          <w:b/>
          <w:bCs/>
        </w:rPr>
        <w:t xml:space="preserve">further </w:t>
      </w:r>
      <w:r w:rsidRPr="00C1400C">
        <w:rPr>
          <w:b/>
          <w:bCs/>
        </w:rPr>
        <w:t>resolved</w:t>
      </w:r>
      <w:r>
        <w:t xml:space="preserve"> that pathways to promotion and tenure and promotion value all faculty contributions to the teaching, research</w:t>
      </w:r>
      <w:r w:rsidR="006D3842">
        <w:t>,</w:t>
      </w:r>
      <w:r>
        <w:t xml:space="preserve"> and service missions of the university;</w:t>
      </w:r>
    </w:p>
    <w:p w14:paraId="1976C484" w14:textId="77777777" w:rsidR="001C7B4D" w:rsidRDefault="001C7B4D" w:rsidP="001C7B4D"/>
    <w:p w14:paraId="7C5DC049" w14:textId="1FD9D458" w:rsidR="001C7B4D" w:rsidRDefault="001C7B4D" w:rsidP="001C7B4D">
      <w:pPr>
        <w:rPr>
          <w:b/>
          <w:bCs/>
        </w:rPr>
      </w:pPr>
      <w:r w:rsidRPr="00C461AA">
        <w:rPr>
          <w:b/>
          <w:bCs/>
        </w:rPr>
        <w:t xml:space="preserve">Be it </w:t>
      </w:r>
      <w:r w:rsidR="006D3842">
        <w:rPr>
          <w:b/>
          <w:bCs/>
        </w:rPr>
        <w:t xml:space="preserve">further </w:t>
      </w:r>
      <w:r w:rsidRPr="00C461AA">
        <w:rPr>
          <w:b/>
          <w:bCs/>
        </w:rPr>
        <w:t>resolved</w:t>
      </w:r>
      <w:r>
        <w:t xml:space="preserve"> that tenure</w:t>
      </w:r>
      <w:r w:rsidR="00D40560">
        <w:t xml:space="preserve">d </w:t>
      </w:r>
      <w:r>
        <w:t>faculty</w:t>
      </w:r>
      <w:r w:rsidR="00292BE9">
        <w:t xml:space="preserve"> </w:t>
      </w:r>
      <w:r w:rsidR="007C68F1">
        <w:t xml:space="preserve">(from regionals) </w:t>
      </w:r>
      <w:r>
        <w:t>be included in conversations</w:t>
      </w:r>
      <w:r w:rsidR="00D40560">
        <w:t xml:space="preserve"> and decisions </w:t>
      </w:r>
      <w:r w:rsidR="006D3842">
        <w:t>when</w:t>
      </w:r>
      <w:r w:rsidR="00D40560">
        <w:t xml:space="preserve"> chang</w:t>
      </w:r>
      <w:r w:rsidR="006D3842">
        <w:t>ing</w:t>
      </w:r>
      <w:r w:rsidR="00D40560">
        <w:t xml:space="preserve"> promotion and tenure and promotion documents</w:t>
      </w:r>
      <w:r w:rsidR="007C68F1">
        <w:t xml:space="preserve"> in Athens campus departments to be more inclusive of differential workloads</w:t>
      </w:r>
      <w:r w:rsidR="005624AE">
        <w:t xml:space="preserve"> and to recognize that workloads reflect the distinct missions of each campus</w:t>
      </w:r>
      <w:r w:rsidR="00D40560">
        <w:t>;</w:t>
      </w:r>
    </w:p>
    <w:p w14:paraId="33A6A389" w14:textId="77777777" w:rsidR="001C7B4D" w:rsidRDefault="001C7B4D" w:rsidP="001C7B4D">
      <w:pPr>
        <w:rPr>
          <w:b/>
          <w:bCs/>
        </w:rPr>
      </w:pPr>
    </w:p>
    <w:p w14:paraId="55C1A8F0" w14:textId="722D090B" w:rsidR="00D40560" w:rsidRPr="00A427DA" w:rsidRDefault="00D40560" w:rsidP="00D40560">
      <w:r w:rsidRPr="00F14DB3">
        <w:rPr>
          <w:b/>
        </w:rPr>
        <w:t xml:space="preserve">Be it </w:t>
      </w:r>
      <w:r w:rsidR="006D3842">
        <w:rPr>
          <w:b/>
        </w:rPr>
        <w:t xml:space="preserve">further </w:t>
      </w:r>
      <w:r w:rsidRPr="00F14DB3">
        <w:rPr>
          <w:b/>
        </w:rPr>
        <w:t>resolved</w:t>
      </w:r>
      <w:r w:rsidRPr="00F14DB3">
        <w:t>, that if this resolution is supported by the Faculty Senate</w:t>
      </w:r>
      <w:r>
        <w:t>,</w:t>
      </w:r>
      <w:r w:rsidRPr="00F14DB3">
        <w:t xml:space="preserve"> the Provost </w:t>
      </w:r>
      <w:r>
        <w:t xml:space="preserve">will </w:t>
      </w:r>
      <w:r w:rsidRPr="00F14DB3">
        <w:t xml:space="preserve">sign this Sense of the Senate resolution </w:t>
      </w:r>
      <w:r w:rsidR="007C68F1">
        <w:t xml:space="preserve">in support </w:t>
      </w:r>
      <w:r w:rsidRPr="00F14DB3">
        <w:t xml:space="preserve">as outlined in VI.B.4.F of the </w:t>
      </w:r>
      <w:r w:rsidRPr="00F14DB3">
        <w:rPr>
          <w:i/>
        </w:rPr>
        <w:t>Faculty Handbook</w:t>
      </w:r>
      <w:r>
        <w:t xml:space="preserve"> (“The Provost may sign the resolution as reflection of support for the Senate’s position”)</w:t>
      </w:r>
      <w:r w:rsidRPr="00F14DB3">
        <w:t>.</w:t>
      </w:r>
    </w:p>
    <w:p w14:paraId="14228705" w14:textId="77777777" w:rsidR="001C7B4D" w:rsidRDefault="001C7B4D" w:rsidP="001C7B4D">
      <w:pPr>
        <w:rPr>
          <w:b/>
          <w:bCs/>
        </w:rPr>
      </w:pPr>
    </w:p>
    <w:p w14:paraId="1484D31C" w14:textId="77777777" w:rsidR="004E4788" w:rsidRPr="00AA5DE0" w:rsidRDefault="004E4788" w:rsidP="00D20504"/>
    <w:sectPr w:rsidR="004E4788" w:rsidRPr="00AA5DE0" w:rsidSect="005518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8B50FF"/>
    <w:multiLevelType w:val="multilevel"/>
    <w:tmpl w:val="4A24AF92"/>
    <w:numStyleLink w:val="Style1"/>
  </w:abstractNum>
  <w:abstractNum w:abstractNumId="1" w15:restartNumberingAfterBreak="0">
    <w:nsid w:val="40F255FB"/>
    <w:multiLevelType w:val="hybridMultilevel"/>
    <w:tmpl w:val="0F2680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D65D92"/>
    <w:multiLevelType w:val="multilevel"/>
    <w:tmpl w:val="4A24AF92"/>
    <w:styleLink w:val="Style1"/>
    <w:lvl w:ilvl="0">
      <w:start w:val="1"/>
      <w:numFmt w:val="upperRoman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upperLetter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1080" w:hanging="360"/>
      </w:pPr>
      <w:rPr>
        <w:rFonts w:hint="default"/>
        <w:b/>
      </w:rPr>
    </w:lvl>
    <w:lvl w:ilvl="3">
      <w:start w:val="1"/>
      <w:numFmt w:val="lowerLetter"/>
      <w:lvlText w:val="%4"/>
      <w:lvlJc w:val="left"/>
      <w:pPr>
        <w:ind w:left="1440" w:hanging="360"/>
      </w:pPr>
      <w:rPr>
        <w:rFonts w:hint="default"/>
        <w:b/>
      </w:rPr>
    </w:lvl>
    <w:lvl w:ilvl="4">
      <w:start w:val="1"/>
      <w:numFmt w:val="lowerRoman"/>
      <w:lvlText w:val="%5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389"/>
    <w:rsid w:val="00010E50"/>
    <w:rsid w:val="00027996"/>
    <w:rsid w:val="00054760"/>
    <w:rsid w:val="000B0224"/>
    <w:rsid w:val="000E6E66"/>
    <w:rsid w:val="001C7B4D"/>
    <w:rsid w:val="001D5757"/>
    <w:rsid w:val="00252092"/>
    <w:rsid w:val="002600F6"/>
    <w:rsid w:val="00263790"/>
    <w:rsid w:val="00264F31"/>
    <w:rsid w:val="00292BE9"/>
    <w:rsid w:val="0029363D"/>
    <w:rsid w:val="002A43BC"/>
    <w:rsid w:val="0040134D"/>
    <w:rsid w:val="00483873"/>
    <w:rsid w:val="004965E0"/>
    <w:rsid w:val="004E0511"/>
    <w:rsid w:val="004E4788"/>
    <w:rsid w:val="00507717"/>
    <w:rsid w:val="00507FC4"/>
    <w:rsid w:val="0052041D"/>
    <w:rsid w:val="005230D8"/>
    <w:rsid w:val="0052325F"/>
    <w:rsid w:val="00551829"/>
    <w:rsid w:val="005624AE"/>
    <w:rsid w:val="005B540A"/>
    <w:rsid w:val="005D5E57"/>
    <w:rsid w:val="006C6C81"/>
    <w:rsid w:val="006D1A53"/>
    <w:rsid w:val="006D3842"/>
    <w:rsid w:val="00717EAA"/>
    <w:rsid w:val="00740BC1"/>
    <w:rsid w:val="00767183"/>
    <w:rsid w:val="007C68F1"/>
    <w:rsid w:val="007D6EC2"/>
    <w:rsid w:val="008B254B"/>
    <w:rsid w:val="008D41E7"/>
    <w:rsid w:val="00975549"/>
    <w:rsid w:val="009B19E0"/>
    <w:rsid w:val="009C692F"/>
    <w:rsid w:val="009D1191"/>
    <w:rsid w:val="00A027D7"/>
    <w:rsid w:val="00AA5DE0"/>
    <w:rsid w:val="00AF6CCE"/>
    <w:rsid w:val="00B20591"/>
    <w:rsid w:val="00B33EE7"/>
    <w:rsid w:val="00BE450E"/>
    <w:rsid w:val="00C1400C"/>
    <w:rsid w:val="00C27EB2"/>
    <w:rsid w:val="00C461AA"/>
    <w:rsid w:val="00C57CB6"/>
    <w:rsid w:val="00D20504"/>
    <w:rsid w:val="00D40560"/>
    <w:rsid w:val="00D43F69"/>
    <w:rsid w:val="00DC7130"/>
    <w:rsid w:val="00DF046E"/>
    <w:rsid w:val="00EB0389"/>
    <w:rsid w:val="00EE0F04"/>
    <w:rsid w:val="00F072C5"/>
    <w:rsid w:val="00F5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AAD3A"/>
  <w15:chartTrackingRefBased/>
  <w15:docId w15:val="{90525C89-C9B7-904A-B79A-3A8758273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nhideWhenUsed/>
    <w:rsid w:val="00264F31"/>
    <w:rPr>
      <w:rFonts w:ascii="Bookman Old Style" w:eastAsiaTheme="minorEastAsia" w:hAnsi="Bookman Old Style"/>
      <w:szCs w:val="20"/>
    </w:rPr>
  </w:style>
  <w:style w:type="character" w:customStyle="1" w:styleId="EndnoteTextChar">
    <w:name w:val="Endnote Text Char"/>
    <w:basedOn w:val="DefaultParagraphFont"/>
    <w:link w:val="EndnoteText"/>
    <w:rsid w:val="00264F31"/>
    <w:rPr>
      <w:rFonts w:ascii="Bookman Old Style" w:eastAsiaTheme="minorEastAsia" w:hAnsi="Bookman Old Style"/>
      <w:szCs w:val="20"/>
    </w:rPr>
  </w:style>
  <w:style w:type="paragraph" w:customStyle="1" w:styleId="endnote">
    <w:name w:val="endnote"/>
    <w:basedOn w:val="EndnoteText"/>
    <w:rsid w:val="00264F31"/>
    <w:pPr>
      <w:spacing w:line="440" w:lineRule="exact"/>
      <w:ind w:firstLine="480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AA5D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5D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5D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5D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5DE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D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DE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27996"/>
    <w:pPr>
      <w:spacing w:after="160" w:line="259" w:lineRule="auto"/>
      <w:ind w:left="720"/>
      <w:contextualSpacing/>
    </w:pPr>
    <w:rPr>
      <w:rFonts w:eastAsiaTheme="minorEastAsia"/>
      <w:sz w:val="22"/>
      <w:szCs w:val="22"/>
    </w:rPr>
  </w:style>
  <w:style w:type="numbering" w:customStyle="1" w:styleId="Style1">
    <w:name w:val="Style1"/>
    <w:uiPriority w:val="99"/>
    <w:rsid w:val="00027996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Wolf, Jacqueline</dc:creator>
  <cp:keywords/>
  <dc:description/>
  <cp:lastModifiedBy>Brock, Angela</cp:lastModifiedBy>
  <cp:revision>2</cp:revision>
  <dcterms:created xsi:type="dcterms:W3CDTF">2020-01-28T14:04:00Z</dcterms:created>
  <dcterms:modified xsi:type="dcterms:W3CDTF">2020-01-28T14:04:00Z</dcterms:modified>
</cp:coreProperties>
</file>