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77F4" w14:textId="04BFBFA1" w:rsidR="00A30F65" w:rsidRPr="002E5468" w:rsidRDefault="00A30F65" w:rsidP="00A30F65">
      <w:pPr>
        <w:jc w:val="center"/>
        <w:rPr>
          <w:b/>
          <w:bCs/>
          <w:sz w:val="24"/>
          <w:szCs w:val="24"/>
        </w:rPr>
      </w:pPr>
      <w:r w:rsidRPr="002E5468">
        <w:rPr>
          <w:b/>
          <w:bCs/>
          <w:sz w:val="24"/>
          <w:szCs w:val="24"/>
        </w:rPr>
        <w:t>Resolution to Reimagine General Education</w:t>
      </w:r>
    </w:p>
    <w:p w14:paraId="4B27426D" w14:textId="31BE938C" w:rsidR="00A30F65" w:rsidRPr="002E5468" w:rsidRDefault="00123F58" w:rsidP="00A30F65">
      <w:pPr>
        <w:jc w:val="center"/>
        <w:rPr>
          <w:sz w:val="24"/>
          <w:szCs w:val="24"/>
        </w:rPr>
      </w:pPr>
      <w:r>
        <w:rPr>
          <w:sz w:val="24"/>
          <w:szCs w:val="24"/>
        </w:rPr>
        <w:t xml:space="preserve">Faculty Senate </w:t>
      </w:r>
      <w:r w:rsidR="00A178F8">
        <w:rPr>
          <w:sz w:val="24"/>
          <w:szCs w:val="24"/>
        </w:rPr>
        <w:t>Executive Committee</w:t>
      </w:r>
    </w:p>
    <w:p w14:paraId="008CA6DF" w14:textId="5D577826" w:rsidR="00A30F65" w:rsidRPr="002E5468" w:rsidRDefault="007753DB" w:rsidP="00A30F65">
      <w:pPr>
        <w:jc w:val="center"/>
        <w:rPr>
          <w:sz w:val="24"/>
          <w:szCs w:val="24"/>
        </w:rPr>
      </w:pPr>
      <w:r>
        <w:rPr>
          <w:sz w:val="24"/>
          <w:szCs w:val="24"/>
        </w:rPr>
        <w:t xml:space="preserve">Second </w:t>
      </w:r>
      <w:r w:rsidR="00A30F65" w:rsidRPr="002E5468">
        <w:rPr>
          <w:sz w:val="24"/>
          <w:szCs w:val="24"/>
        </w:rPr>
        <w:t>Reading</w:t>
      </w:r>
      <w:r>
        <w:rPr>
          <w:sz w:val="24"/>
          <w:szCs w:val="24"/>
        </w:rPr>
        <w:t xml:space="preserve"> &amp; Vote</w:t>
      </w:r>
      <w:r w:rsidR="00A30F65" w:rsidRPr="002E5468">
        <w:rPr>
          <w:sz w:val="24"/>
          <w:szCs w:val="24"/>
        </w:rPr>
        <w:t xml:space="preserve">: </w:t>
      </w:r>
      <w:r>
        <w:rPr>
          <w:sz w:val="24"/>
          <w:szCs w:val="24"/>
        </w:rPr>
        <w:t>February 3, 2020</w:t>
      </w:r>
    </w:p>
    <w:p w14:paraId="72FB2165" w14:textId="273D0BD1" w:rsidR="00A30F65" w:rsidRPr="002E5468" w:rsidRDefault="00A30F65">
      <w:pPr>
        <w:rPr>
          <w:sz w:val="24"/>
          <w:szCs w:val="24"/>
        </w:rPr>
      </w:pPr>
    </w:p>
    <w:p w14:paraId="4AF6935E" w14:textId="34771DB2" w:rsidR="00A30F65" w:rsidRPr="002E5468" w:rsidRDefault="00A30F65" w:rsidP="00A30F65">
      <w:pPr>
        <w:rPr>
          <w:sz w:val="24"/>
          <w:szCs w:val="24"/>
        </w:rPr>
      </w:pPr>
      <w:r w:rsidRPr="002E5468">
        <w:rPr>
          <w:i/>
          <w:iCs/>
          <w:sz w:val="24"/>
          <w:szCs w:val="24"/>
        </w:rPr>
        <w:t>Whereas</w:t>
      </w:r>
      <w:r w:rsidRPr="002E5468">
        <w:rPr>
          <w:sz w:val="24"/>
          <w:szCs w:val="24"/>
        </w:rPr>
        <w:t xml:space="preserve"> the "Interim Report of the General Education Assessment Working Group" (2010) found that General Education at Ohio University is strong overall but identified areas of improvement</w:t>
      </w:r>
      <w:r w:rsidR="004C72D6">
        <w:rPr>
          <w:sz w:val="24"/>
          <w:szCs w:val="24"/>
        </w:rPr>
        <w:t>; and</w:t>
      </w:r>
    </w:p>
    <w:p w14:paraId="680DCFFB" w14:textId="77777777" w:rsidR="00A30F65" w:rsidRPr="002E5468" w:rsidRDefault="00A30F65" w:rsidP="00A30F65">
      <w:pPr>
        <w:rPr>
          <w:sz w:val="24"/>
          <w:szCs w:val="24"/>
        </w:rPr>
      </w:pPr>
    </w:p>
    <w:p w14:paraId="74F0C020" w14:textId="6DAF698C" w:rsidR="00A30F65" w:rsidRPr="002E5468" w:rsidRDefault="00A30F65" w:rsidP="00A30F65">
      <w:pPr>
        <w:rPr>
          <w:sz w:val="24"/>
          <w:szCs w:val="24"/>
        </w:rPr>
      </w:pPr>
      <w:r w:rsidRPr="002E5468">
        <w:rPr>
          <w:i/>
          <w:iCs/>
          <w:sz w:val="24"/>
          <w:szCs w:val="24"/>
        </w:rPr>
        <w:t>Whereas</w:t>
      </w:r>
      <w:r w:rsidRPr="002E5468">
        <w:rPr>
          <w:sz w:val="24"/>
          <w:szCs w:val="24"/>
        </w:rPr>
        <w:t xml:space="preserve"> the 1804 General Education Task Force </w:t>
      </w:r>
      <w:r w:rsidR="00C05A09" w:rsidRPr="002E5468">
        <w:rPr>
          <w:sz w:val="24"/>
          <w:szCs w:val="24"/>
        </w:rPr>
        <w:t xml:space="preserve">(2012) </w:t>
      </w:r>
      <w:r w:rsidRPr="002E5468">
        <w:rPr>
          <w:sz w:val="24"/>
          <w:szCs w:val="24"/>
        </w:rPr>
        <w:t xml:space="preserve">recommended that Ohio University move forward with a revision of the general education program and proposed a set of principles and learning outcomes based on best practices such as </w:t>
      </w:r>
      <w:r w:rsidR="004C72D6">
        <w:rPr>
          <w:sz w:val="24"/>
          <w:szCs w:val="24"/>
        </w:rPr>
        <w:t xml:space="preserve">the </w:t>
      </w:r>
      <w:r w:rsidRPr="002E5468">
        <w:rPr>
          <w:sz w:val="24"/>
          <w:szCs w:val="24"/>
        </w:rPr>
        <w:t xml:space="preserve">LEAP </w:t>
      </w:r>
      <w:r w:rsidR="004C72D6">
        <w:rPr>
          <w:sz w:val="24"/>
          <w:szCs w:val="24"/>
        </w:rPr>
        <w:t>E</w:t>
      </w:r>
      <w:r w:rsidRPr="002E5468">
        <w:rPr>
          <w:sz w:val="24"/>
          <w:szCs w:val="24"/>
        </w:rPr>
        <w:t xml:space="preserve">ssential </w:t>
      </w:r>
      <w:r w:rsidR="004C72D6">
        <w:rPr>
          <w:sz w:val="24"/>
          <w:szCs w:val="24"/>
        </w:rPr>
        <w:t>L</w:t>
      </w:r>
      <w:r w:rsidRPr="002E5468">
        <w:rPr>
          <w:sz w:val="24"/>
          <w:szCs w:val="24"/>
        </w:rPr>
        <w:t xml:space="preserve">earning </w:t>
      </w:r>
      <w:r w:rsidR="004C72D6">
        <w:rPr>
          <w:sz w:val="24"/>
          <w:szCs w:val="24"/>
        </w:rPr>
        <w:t>O</w:t>
      </w:r>
      <w:r w:rsidRPr="002E5468">
        <w:rPr>
          <w:sz w:val="24"/>
          <w:szCs w:val="24"/>
        </w:rPr>
        <w:t>utcomes;</w:t>
      </w:r>
      <w:r w:rsidR="004C72D6">
        <w:rPr>
          <w:sz w:val="24"/>
          <w:szCs w:val="24"/>
        </w:rPr>
        <w:t xml:space="preserve"> and</w:t>
      </w:r>
    </w:p>
    <w:p w14:paraId="530773B3" w14:textId="77777777" w:rsidR="00A30F65" w:rsidRPr="002E5468" w:rsidRDefault="00A30F65" w:rsidP="00A30F65">
      <w:pPr>
        <w:rPr>
          <w:sz w:val="24"/>
          <w:szCs w:val="24"/>
        </w:rPr>
      </w:pPr>
    </w:p>
    <w:p w14:paraId="5FEE7F67" w14:textId="3C410C5F" w:rsidR="00A30F65" w:rsidRPr="002E5468" w:rsidRDefault="00A30F65" w:rsidP="00A30F65">
      <w:pPr>
        <w:rPr>
          <w:sz w:val="24"/>
          <w:szCs w:val="24"/>
        </w:rPr>
      </w:pPr>
      <w:r w:rsidRPr="002E5468">
        <w:rPr>
          <w:i/>
          <w:iCs/>
          <w:sz w:val="24"/>
          <w:szCs w:val="24"/>
        </w:rPr>
        <w:t>Whereas</w:t>
      </w:r>
      <w:r w:rsidRPr="002E5468">
        <w:rPr>
          <w:sz w:val="24"/>
          <w:szCs w:val="24"/>
        </w:rPr>
        <w:t xml:space="preserve"> the General Education Committee </w:t>
      </w:r>
      <w:r w:rsidR="00C05A09" w:rsidRPr="002E5468">
        <w:rPr>
          <w:sz w:val="24"/>
          <w:szCs w:val="24"/>
        </w:rPr>
        <w:t xml:space="preserve">(2012-13) </w:t>
      </w:r>
      <w:r w:rsidRPr="002E5468">
        <w:rPr>
          <w:sz w:val="24"/>
          <w:szCs w:val="24"/>
        </w:rPr>
        <w:t xml:space="preserve">developed </w:t>
      </w:r>
      <w:r w:rsidR="004C72D6">
        <w:rPr>
          <w:sz w:val="24"/>
          <w:szCs w:val="24"/>
        </w:rPr>
        <w:t xml:space="preserve">baccalaureate </w:t>
      </w:r>
      <w:r w:rsidRPr="002E5468">
        <w:rPr>
          <w:sz w:val="24"/>
          <w:szCs w:val="24"/>
        </w:rPr>
        <w:t xml:space="preserve">common goals from the proposed learning outcomes </w:t>
      </w:r>
      <w:r w:rsidR="004C72D6">
        <w:rPr>
          <w:sz w:val="24"/>
          <w:szCs w:val="24"/>
        </w:rPr>
        <w:t>based on consultation with</w:t>
      </w:r>
      <w:r w:rsidRPr="002E5468">
        <w:rPr>
          <w:sz w:val="24"/>
          <w:szCs w:val="24"/>
        </w:rPr>
        <w:t xml:space="preserve"> </w:t>
      </w:r>
      <w:r w:rsidR="004C72D6">
        <w:rPr>
          <w:sz w:val="24"/>
          <w:szCs w:val="24"/>
        </w:rPr>
        <w:t xml:space="preserve">undergraduate </w:t>
      </w:r>
      <w:r w:rsidRPr="002E5468">
        <w:rPr>
          <w:sz w:val="24"/>
          <w:szCs w:val="24"/>
        </w:rPr>
        <w:t>colleges and schools concerning their shared values;</w:t>
      </w:r>
      <w:r w:rsidR="004C72D6">
        <w:rPr>
          <w:sz w:val="24"/>
          <w:szCs w:val="24"/>
        </w:rPr>
        <w:t xml:space="preserve"> and</w:t>
      </w:r>
    </w:p>
    <w:p w14:paraId="5B9A8967" w14:textId="77777777" w:rsidR="00A30F65" w:rsidRPr="002E5468" w:rsidRDefault="00A30F65" w:rsidP="00A30F65">
      <w:pPr>
        <w:rPr>
          <w:sz w:val="24"/>
          <w:szCs w:val="24"/>
        </w:rPr>
      </w:pPr>
    </w:p>
    <w:p w14:paraId="52961F57" w14:textId="7538DF2A" w:rsidR="00A30F65" w:rsidRPr="002E5468" w:rsidRDefault="00A30F65" w:rsidP="00A30F65">
      <w:pPr>
        <w:rPr>
          <w:sz w:val="24"/>
          <w:szCs w:val="24"/>
        </w:rPr>
      </w:pPr>
      <w:r w:rsidRPr="002E5468">
        <w:rPr>
          <w:i/>
          <w:iCs/>
          <w:sz w:val="24"/>
          <w:szCs w:val="24"/>
        </w:rPr>
        <w:t>Whereas</w:t>
      </w:r>
      <w:r w:rsidRPr="002E5468">
        <w:rPr>
          <w:sz w:val="24"/>
          <w:szCs w:val="24"/>
        </w:rPr>
        <w:t xml:space="preserve"> </w:t>
      </w:r>
      <w:r w:rsidR="004C72D6">
        <w:rPr>
          <w:sz w:val="24"/>
          <w:szCs w:val="24"/>
        </w:rPr>
        <w:t xml:space="preserve">in May 2014, </w:t>
      </w:r>
      <w:r w:rsidR="004166E5">
        <w:rPr>
          <w:sz w:val="24"/>
          <w:szCs w:val="24"/>
        </w:rPr>
        <w:t xml:space="preserve">the </w:t>
      </w:r>
      <w:r w:rsidR="004C72D6">
        <w:rPr>
          <w:sz w:val="24"/>
          <w:szCs w:val="24"/>
        </w:rPr>
        <w:t>U</w:t>
      </w:r>
      <w:r w:rsidR="004166E5">
        <w:rPr>
          <w:sz w:val="24"/>
          <w:szCs w:val="24"/>
        </w:rPr>
        <w:t xml:space="preserve">niversity </w:t>
      </w:r>
      <w:r w:rsidR="004C72D6">
        <w:rPr>
          <w:sz w:val="24"/>
          <w:szCs w:val="24"/>
        </w:rPr>
        <w:t>C</w:t>
      </w:r>
      <w:r w:rsidR="004166E5">
        <w:rPr>
          <w:sz w:val="24"/>
          <w:szCs w:val="24"/>
        </w:rPr>
        <w:t xml:space="preserve">urriculum </w:t>
      </w:r>
      <w:r w:rsidR="004C72D6">
        <w:rPr>
          <w:sz w:val="24"/>
          <w:szCs w:val="24"/>
        </w:rPr>
        <w:t>C</w:t>
      </w:r>
      <w:r w:rsidR="004166E5">
        <w:rPr>
          <w:sz w:val="24"/>
          <w:szCs w:val="24"/>
        </w:rPr>
        <w:t>ouncil (UCC)</w:t>
      </w:r>
      <w:r w:rsidR="004C72D6">
        <w:rPr>
          <w:sz w:val="24"/>
          <w:szCs w:val="24"/>
        </w:rPr>
        <w:t xml:space="preserve"> approved the common goals and Faculty Senate formally endorsed them in the </w:t>
      </w:r>
      <w:r w:rsidR="004C7FB1" w:rsidRPr="002E5468">
        <w:rPr>
          <w:sz w:val="24"/>
          <w:szCs w:val="24"/>
        </w:rPr>
        <w:t>“Resolution for the endorsement of the General Education common goals”</w:t>
      </w:r>
      <w:r w:rsidRPr="002E5468">
        <w:rPr>
          <w:sz w:val="24"/>
          <w:szCs w:val="24"/>
        </w:rPr>
        <w:t>;</w:t>
      </w:r>
      <w:r w:rsidR="004C72D6">
        <w:rPr>
          <w:sz w:val="24"/>
          <w:szCs w:val="24"/>
        </w:rPr>
        <w:t xml:space="preserve"> and</w:t>
      </w:r>
    </w:p>
    <w:p w14:paraId="5E2B5466" w14:textId="3F51A9AB" w:rsidR="009F2135" w:rsidRPr="002E5468" w:rsidRDefault="009F2135" w:rsidP="00A30F65">
      <w:pPr>
        <w:rPr>
          <w:sz w:val="24"/>
          <w:szCs w:val="24"/>
        </w:rPr>
      </w:pPr>
    </w:p>
    <w:p w14:paraId="6DFE04B9" w14:textId="26485187" w:rsidR="009F2135" w:rsidRPr="002E5468" w:rsidRDefault="009F2135" w:rsidP="00A30F65">
      <w:pPr>
        <w:rPr>
          <w:sz w:val="24"/>
          <w:szCs w:val="24"/>
        </w:rPr>
      </w:pPr>
      <w:r w:rsidRPr="002E5468">
        <w:rPr>
          <w:i/>
          <w:iCs/>
          <w:sz w:val="24"/>
          <w:szCs w:val="24"/>
        </w:rPr>
        <w:t>Whereas</w:t>
      </w:r>
      <w:r w:rsidRPr="002E5468">
        <w:rPr>
          <w:sz w:val="24"/>
          <w:szCs w:val="24"/>
        </w:rPr>
        <w:t xml:space="preserve"> the “Resolution for the endorsement of the General Education common goals” </w:t>
      </w:r>
      <w:r w:rsidR="00074DBB">
        <w:rPr>
          <w:sz w:val="24"/>
          <w:szCs w:val="24"/>
        </w:rPr>
        <w:t xml:space="preserve">(2014) </w:t>
      </w:r>
      <w:r w:rsidRPr="002E5468">
        <w:rPr>
          <w:sz w:val="24"/>
          <w:szCs w:val="24"/>
        </w:rPr>
        <w:t xml:space="preserve">directed </w:t>
      </w:r>
      <w:r w:rsidR="004C72D6">
        <w:rPr>
          <w:sz w:val="24"/>
          <w:szCs w:val="24"/>
        </w:rPr>
        <w:t>a</w:t>
      </w:r>
      <w:r w:rsidR="009167F7">
        <w:rPr>
          <w:sz w:val="24"/>
          <w:szCs w:val="24"/>
        </w:rPr>
        <w:t xml:space="preserve"> </w:t>
      </w:r>
      <w:r w:rsidRPr="002E5468">
        <w:rPr>
          <w:sz w:val="24"/>
          <w:szCs w:val="24"/>
        </w:rPr>
        <w:t>General Education Task Force to develop learning outcomes for these goals, propose possible changes to general education in order to meet the learning outcomes, and incorporate learning outcomes and assessment into any proposed changes to general education;</w:t>
      </w:r>
      <w:r w:rsidR="004C72D6">
        <w:rPr>
          <w:sz w:val="24"/>
          <w:szCs w:val="24"/>
        </w:rPr>
        <w:t xml:space="preserve"> and</w:t>
      </w:r>
    </w:p>
    <w:p w14:paraId="61171CB0" w14:textId="77777777" w:rsidR="009F2135" w:rsidRPr="002E5468" w:rsidRDefault="009F2135" w:rsidP="00A30F65">
      <w:pPr>
        <w:rPr>
          <w:sz w:val="24"/>
          <w:szCs w:val="24"/>
        </w:rPr>
      </w:pPr>
    </w:p>
    <w:p w14:paraId="0835C35B" w14:textId="105A8EB0" w:rsidR="006366F9" w:rsidRPr="002E5468" w:rsidRDefault="009F2135" w:rsidP="00A30F65">
      <w:pPr>
        <w:rPr>
          <w:sz w:val="24"/>
          <w:szCs w:val="24"/>
        </w:rPr>
      </w:pPr>
      <w:r w:rsidRPr="002E5468">
        <w:rPr>
          <w:i/>
          <w:iCs/>
          <w:sz w:val="24"/>
          <w:szCs w:val="24"/>
        </w:rPr>
        <w:t>Whereas</w:t>
      </w:r>
      <w:r w:rsidRPr="002E5468">
        <w:rPr>
          <w:sz w:val="24"/>
          <w:szCs w:val="24"/>
        </w:rPr>
        <w:t xml:space="preserve"> the 2017-18 </w:t>
      </w:r>
      <w:r w:rsidR="00C05A09" w:rsidRPr="002E5468">
        <w:rPr>
          <w:sz w:val="24"/>
          <w:szCs w:val="24"/>
        </w:rPr>
        <w:t>UCC General Education Committee developed definitions and learning outcomes for the General Education common goals</w:t>
      </w:r>
      <w:r w:rsidR="004166E5">
        <w:rPr>
          <w:sz w:val="24"/>
          <w:szCs w:val="24"/>
        </w:rPr>
        <w:t xml:space="preserve"> which were approved by both UCC and Faculty Senate</w:t>
      </w:r>
      <w:r w:rsidR="00C05A09" w:rsidRPr="002E5468">
        <w:rPr>
          <w:sz w:val="24"/>
          <w:szCs w:val="24"/>
        </w:rPr>
        <w:t>;</w:t>
      </w:r>
      <w:r w:rsidR="004166E5">
        <w:rPr>
          <w:sz w:val="24"/>
          <w:szCs w:val="24"/>
        </w:rPr>
        <w:t xml:space="preserve"> and</w:t>
      </w:r>
    </w:p>
    <w:p w14:paraId="4A9C18B5" w14:textId="77777777" w:rsidR="006366F9" w:rsidRPr="002E5468" w:rsidRDefault="006366F9" w:rsidP="00A30F65">
      <w:pPr>
        <w:rPr>
          <w:sz w:val="24"/>
          <w:szCs w:val="24"/>
        </w:rPr>
      </w:pPr>
    </w:p>
    <w:p w14:paraId="0DF748D2" w14:textId="27461EE1" w:rsidR="006366F9" w:rsidRPr="002E5468" w:rsidRDefault="006366F9" w:rsidP="006366F9">
      <w:pPr>
        <w:rPr>
          <w:sz w:val="24"/>
          <w:szCs w:val="24"/>
        </w:rPr>
      </w:pPr>
      <w:r w:rsidRPr="002E5468">
        <w:rPr>
          <w:i/>
          <w:iCs/>
          <w:sz w:val="24"/>
          <w:szCs w:val="24"/>
        </w:rPr>
        <w:t>Whereas</w:t>
      </w:r>
      <w:r w:rsidRPr="002E5468">
        <w:rPr>
          <w:sz w:val="24"/>
          <w:szCs w:val="24"/>
        </w:rPr>
        <w:t xml:space="preserve"> the Ohio Department of Higher Education (ODHE) ha</w:t>
      </w:r>
      <w:r w:rsidR="009167F7">
        <w:rPr>
          <w:sz w:val="24"/>
          <w:szCs w:val="24"/>
        </w:rPr>
        <w:t>s</w:t>
      </w:r>
      <w:r w:rsidRPr="002E5468">
        <w:rPr>
          <w:sz w:val="24"/>
          <w:szCs w:val="24"/>
        </w:rPr>
        <w:t xml:space="preserve"> requirements for general education curriculum</w:t>
      </w:r>
      <w:r w:rsidR="002A30A7">
        <w:rPr>
          <w:sz w:val="24"/>
          <w:szCs w:val="24"/>
        </w:rPr>
        <w:t xml:space="preserve"> at all public institutions in the state of Ohio</w:t>
      </w:r>
      <w:r w:rsidRPr="002E5468">
        <w:rPr>
          <w:sz w:val="24"/>
          <w:szCs w:val="24"/>
        </w:rPr>
        <w:t xml:space="preserve">; </w:t>
      </w:r>
      <w:r w:rsidR="004166E5">
        <w:rPr>
          <w:sz w:val="24"/>
          <w:szCs w:val="24"/>
        </w:rPr>
        <w:t>and</w:t>
      </w:r>
    </w:p>
    <w:p w14:paraId="24A9B2F1" w14:textId="1D429D45" w:rsidR="00C05A09" w:rsidRPr="002E5468" w:rsidRDefault="00C05A09" w:rsidP="00A30F65">
      <w:pPr>
        <w:rPr>
          <w:sz w:val="24"/>
          <w:szCs w:val="24"/>
        </w:rPr>
      </w:pPr>
    </w:p>
    <w:p w14:paraId="48C35BD4" w14:textId="648441B1" w:rsidR="002A30A7" w:rsidRPr="002E5468" w:rsidRDefault="002A30A7" w:rsidP="002A30A7">
      <w:pPr>
        <w:rPr>
          <w:sz w:val="24"/>
          <w:szCs w:val="24"/>
        </w:rPr>
      </w:pPr>
      <w:r w:rsidRPr="002E5468">
        <w:rPr>
          <w:i/>
          <w:iCs/>
          <w:sz w:val="24"/>
          <w:szCs w:val="24"/>
        </w:rPr>
        <w:t>Whereas</w:t>
      </w:r>
      <w:r w:rsidRPr="002E5468">
        <w:rPr>
          <w:sz w:val="24"/>
          <w:szCs w:val="24"/>
        </w:rPr>
        <w:t xml:space="preserve"> the Higher Learning Commission (HLC) </w:t>
      </w:r>
      <w:r w:rsidR="00F84F9C">
        <w:rPr>
          <w:sz w:val="24"/>
          <w:szCs w:val="24"/>
        </w:rPr>
        <w:t xml:space="preserve">has </w:t>
      </w:r>
      <w:r w:rsidRPr="002E5468">
        <w:rPr>
          <w:sz w:val="24"/>
          <w:szCs w:val="24"/>
        </w:rPr>
        <w:t xml:space="preserve">expectations for general education curriculum and assessment; </w:t>
      </w:r>
      <w:r w:rsidR="004166E5">
        <w:rPr>
          <w:sz w:val="24"/>
          <w:szCs w:val="24"/>
        </w:rPr>
        <w:t>and</w:t>
      </w:r>
    </w:p>
    <w:p w14:paraId="583DB530" w14:textId="77777777" w:rsidR="002A30A7" w:rsidRDefault="002A30A7" w:rsidP="00A30F65">
      <w:pPr>
        <w:rPr>
          <w:i/>
          <w:iCs/>
          <w:sz w:val="24"/>
          <w:szCs w:val="24"/>
        </w:rPr>
      </w:pPr>
    </w:p>
    <w:p w14:paraId="1F98321D" w14:textId="772F309B" w:rsidR="00C05A09" w:rsidRPr="002E5468" w:rsidRDefault="00C05A09" w:rsidP="00A30F65">
      <w:pPr>
        <w:rPr>
          <w:sz w:val="24"/>
          <w:szCs w:val="24"/>
        </w:rPr>
      </w:pPr>
      <w:r w:rsidRPr="002E5468">
        <w:rPr>
          <w:i/>
          <w:iCs/>
          <w:sz w:val="24"/>
          <w:szCs w:val="24"/>
        </w:rPr>
        <w:t>Whereas</w:t>
      </w:r>
      <w:r w:rsidRPr="002E5468">
        <w:rPr>
          <w:sz w:val="24"/>
          <w:szCs w:val="24"/>
        </w:rPr>
        <w:t xml:space="preserve"> the </w:t>
      </w:r>
      <w:r w:rsidR="007753DB">
        <w:rPr>
          <w:sz w:val="24"/>
          <w:szCs w:val="24"/>
        </w:rPr>
        <w:t>2019-20</w:t>
      </w:r>
      <w:r w:rsidRPr="002E5468">
        <w:rPr>
          <w:sz w:val="24"/>
          <w:szCs w:val="24"/>
        </w:rPr>
        <w:t xml:space="preserve"> Reimagining General Education Task Force proposed possible changes to general education in order to meet the learning outcomes</w:t>
      </w:r>
      <w:r w:rsidR="006366F9" w:rsidRPr="002E5468">
        <w:rPr>
          <w:sz w:val="24"/>
          <w:szCs w:val="24"/>
        </w:rPr>
        <w:t xml:space="preserve"> and external requirements</w:t>
      </w:r>
      <w:r w:rsidR="004C7FB1" w:rsidRPr="002E5468">
        <w:rPr>
          <w:sz w:val="24"/>
          <w:szCs w:val="24"/>
        </w:rPr>
        <w:t>, presented</w:t>
      </w:r>
      <w:r w:rsidR="00493FFF" w:rsidRPr="002E5468">
        <w:rPr>
          <w:sz w:val="24"/>
          <w:szCs w:val="24"/>
        </w:rPr>
        <w:t xml:space="preserve"> different models to Faculty Senate and UCC, </w:t>
      </w:r>
      <w:r w:rsidRPr="002E5468">
        <w:rPr>
          <w:sz w:val="24"/>
          <w:szCs w:val="24"/>
        </w:rPr>
        <w:t xml:space="preserve">and sought feedback </w:t>
      </w:r>
      <w:r w:rsidR="004166E5">
        <w:rPr>
          <w:sz w:val="24"/>
          <w:szCs w:val="24"/>
        </w:rPr>
        <w:t xml:space="preserve">at each stage of development </w:t>
      </w:r>
      <w:r w:rsidRPr="002E5468">
        <w:rPr>
          <w:sz w:val="24"/>
          <w:szCs w:val="24"/>
        </w:rPr>
        <w:t xml:space="preserve">from faculty constituents </w:t>
      </w:r>
      <w:r w:rsidR="004C7FB1" w:rsidRPr="002E5468">
        <w:rPr>
          <w:sz w:val="24"/>
          <w:szCs w:val="24"/>
        </w:rPr>
        <w:t xml:space="preserve">on </w:t>
      </w:r>
      <w:r w:rsidR="006366F9" w:rsidRPr="002E5468">
        <w:rPr>
          <w:sz w:val="24"/>
          <w:szCs w:val="24"/>
        </w:rPr>
        <w:t>reimagining general education</w:t>
      </w:r>
      <w:r w:rsidR="004C7FB1" w:rsidRPr="002E5468">
        <w:rPr>
          <w:sz w:val="24"/>
          <w:szCs w:val="24"/>
        </w:rPr>
        <w:t xml:space="preserve">; </w:t>
      </w:r>
      <w:r w:rsidR="004166E5">
        <w:rPr>
          <w:sz w:val="24"/>
          <w:szCs w:val="24"/>
        </w:rPr>
        <w:t>and</w:t>
      </w:r>
    </w:p>
    <w:p w14:paraId="07F9221F" w14:textId="2939EF04" w:rsidR="009F2135" w:rsidRPr="002E5468" w:rsidRDefault="009F2135" w:rsidP="00A30F65">
      <w:pPr>
        <w:rPr>
          <w:sz w:val="24"/>
          <w:szCs w:val="24"/>
        </w:rPr>
      </w:pPr>
    </w:p>
    <w:p w14:paraId="7100AF65" w14:textId="6868A6D6" w:rsidR="00493FFF" w:rsidRPr="00074DBB" w:rsidRDefault="00493FFF" w:rsidP="00493FFF">
      <w:pPr>
        <w:rPr>
          <w:sz w:val="24"/>
          <w:szCs w:val="24"/>
        </w:rPr>
      </w:pPr>
      <w:r w:rsidRPr="00074DBB">
        <w:rPr>
          <w:i/>
          <w:iCs/>
          <w:sz w:val="24"/>
          <w:szCs w:val="24"/>
        </w:rPr>
        <w:t>Whereas</w:t>
      </w:r>
      <w:r w:rsidRPr="00074DBB">
        <w:rPr>
          <w:sz w:val="24"/>
          <w:szCs w:val="24"/>
        </w:rPr>
        <w:t xml:space="preserve"> the </w:t>
      </w:r>
      <w:r w:rsidR="007753DB">
        <w:rPr>
          <w:sz w:val="24"/>
          <w:szCs w:val="24"/>
        </w:rPr>
        <w:t>2019-20</w:t>
      </w:r>
      <w:r w:rsidRPr="00074DBB">
        <w:rPr>
          <w:sz w:val="24"/>
          <w:szCs w:val="24"/>
        </w:rPr>
        <w:t xml:space="preserve"> Reimagining General Education Task Force presented to and sought feedback from other constituents </w:t>
      </w:r>
      <w:r w:rsidR="00DB1C35" w:rsidRPr="00074DBB">
        <w:rPr>
          <w:sz w:val="24"/>
          <w:szCs w:val="24"/>
        </w:rPr>
        <w:t xml:space="preserve">such as </w:t>
      </w:r>
      <w:r w:rsidRPr="00074DBB">
        <w:rPr>
          <w:sz w:val="24"/>
          <w:szCs w:val="24"/>
        </w:rPr>
        <w:t>Student Senate, President’s Cabinet, Deans</w:t>
      </w:r>
      <w:r w:rsidR="00074DBB">
        <w:rPr>
          <w:sz w:val="24"/>
          <w:szCs w:val="24"/>
        </w:rPr>
        <w:t>’</w:t>
      </w:r>
      <w:r w:rsidRPr="00074DBB">
        <w:rPr>
          <w:sz w:val="24"/>
          <w:szCs w:val="24"/>
        </w:rPr>
        <w:t xml:space="preserve"> Council, University Academic Advising Council</w:t>
      </w:r>
      <w:r w:rsidR="00DB1C35" w:rsidRPr="00074DBB">
        <w:rPr>
          <w:sz w:val="24"/>
          <w:szCs w:val="24"/>
        </w:rPr>
        <w:t>, and the Board of Trustees</w:t>
      </w:r>
      <w:r w:rsidRPr="00074DBB">
        <w:rPr>
          <w:sz w:val="24"/>
          <w:szCs w:val="24"/>
        </w:rPr>
        <w:t xml:space="preserve"> on </w:t>
      </w:r>
      <w:r w:rsidR="006366F9" w:rsidRPr="00074DBB">
        <w:rPr>
          <w:sz w:val="24"/>
          <w:szCs w:val="24"/>
        </w:rPr>
        <w:t>reimagining general education</w:t>
      </w:r>
      <w:r w:rsidRPr="00074DBB">
        <w:rPr>
          <w:sz w:val="24"/>
          <w:szCs w:val="24"/>
        </w:rPr>
        <w:t xml:space="preserve">; </w:t>
      </w:r>
      <w:r w:rsidR="004166E5" w:rsidRPr="00074DBB">
        <w:rPr>
          <w:sz w:val="24"/>
          <w:szCs w:val="24"/>
        </w:rPr>
        <w:t>and</w:t>
      </w:r>
    </w:p>
    <w:p w14:paraId="6D2A2432" w14:textId="77777777" w:rsidR="00493FFF" w:rsidRPr="002E5468" w:rsidRDefault="00493FFF" w:rsidP="004C7FB1">
      <w:pPr>
        <w:rPr>
          <w:i/>
          <w:iCs/>
          <w:sz w:val="24"/>
          <w:szCs w:val="24"/>
        </w:rPr>
      </w:pPr>
    </w:p>
    <w:p w14:paraId="5124E728" w14:textId="11D55BC0" w:rsidR="004C7FB1" w:rsidRPr="002E5468" w:rsidRDefault="004C7FB1" w:rsidP="004C7FB1">
      <w:pPr>
        <w:rPr>
          <w:sz w:val="24"/>
          <w:szCs w:val="24"/>
        </w:rPr>
      </w:pPr>
      <w:r w:rsidRPr="002E5468">
        <w:rPr>
          <w:i/>
          <w:iCs/>
          <w:sz w:val="24"/>
          <w:szCs w:val="24"/>
        </w:rPr>
        <w:lastRenderedPageBreak/>
        <w:t>Whereas</w:t>
      </w:r>
      <w:r w:rsidRPr="002E5468">
        <w:rPr>
          <w:sz w:val="24"/>
          <w:szCs w:val="24"/>
        </w:rPr>
        <w:t xml:space="preserve"> the </w:t>
      </w:r>
      <w:r w:rsidR="007753DB">
        <w:rPr>
          <w:sz w:val="24"/>
          <w:szCs w:val="24"/>
        </w:rPr>
        <w:t>2019-20</w:t>
      </w:r>
      <w:r w:rsidRPr="002E5468">
        <w:rPr>
          <w:sz w:val="24"/>
          <w:szCs w:val="24"/>
        </w:rPr>
        <w:t xml:space="preserve"> Reimagining General Education Task Force used </w:t>
      </w:r>
      <w:r w:rsidR="004166E5">
        <w:rPr>
          <w:sz w:val="24"/>
          <w:szCs w:val="24"/>
        </w:rPr>
        <w:t>constituent suggestions</w:t>
      </w:r>
      <w:r w:rsidR="00F75657">
        <w:rPr>
          <w:sz w:val="24"/>
          <w:szCs w:val="24"/>
        </w:rPr>
        <w:t xml:space="preserve"> </w:t>
      </w:r>
      <w:r w:rsidR="004166E5">
        <w:rPr>
          <w:sz w:val="24"/>
          <w:szCs w:val="24"/>
        </w:rPr>
        <w:t xml:space="preserve">and balanced constituent responses </w:t>
      </w:r>
      <w:r w:rsidR="00DB1C35" w:rsidRPr="002E5468">
        <w:rPr>
          <w:sz w:val="24"/>
          <w:szCs w:val="24"/>
        </w:rPr>
        <w:t xml:space="preserve">to propose a recommended </w:t>
      </w:r>
      <w:r w:rsidR="00F75657">
        <w:rPr>
          <w:sz w:val="24"/>
          <w:szCs w:val="24"/>
        </w:rPr>
        <w:t>reimagined curriculum</w:t>
      </w:r>
      <w:r w:rsidR="00DB1C35" w:rsidRPr="002E5468">
        <w:rPr>
          <w:sz w:val="24"/>
          <w:szCs w:val="24"/>
        </w:rPr>
        <w:t xml:space="preserve"> for general education at Ohio University</w:t>
      </w:r>
      <w:r w:rsidR="004166E5">
        <w:rPr>
          <w:sz w:val="24"/>
          <w:szCs w:val="24"/>
        </w:rPr>
        <w:t>;</w:t>
      </w:r>
      <w:r w:rsidRPr="002E5468">
        <w:rPr>
          <w:sz w:val="24"/>
          <w:szCs w:val="24"/>
        </w:rPr>
        <w:t xml:space="preserve"> </w:t>
      </w:r>
    </w:p>
    <w:p w14:paraId="0C764EF1" w14:textId="77777777" w:rsidR="004C7FB1" w:rsidRPr="002E5468" w:rsidRDefault="004C7FB1" w:rsidP="00A30F65">
      <w:pPr>
        <w:rPr>
          <w:sz w:val="24"/>
          <w:szCs w:val="24"/>
        </w:rPr>
      </w:pPr>
    </w:p>
    <w:p w14:paraId="6BFB0898" w14:textId="17C2FF26" w:rsidR="00A30F65" w:rsidRDefault="004C7FB1" w:rsidP="00A30F65">
      <w:pPr>
        <w:rPr>
          <w:sz w:val="24"/>
          <w:szCs w:val="24"/>
        </w:rPr>
      </w:pPr>
      <w:r w:rsidRPr="002E5468">
        <w:rPr>
          <w:i/>
          <w:iCs/>
          <w:sz w:val="24"/>
          <w:szCs w:val="24"/>
        </w:rPr>
        <w:t>Therefore, be it resolved</w:t>
      </w:r>
      <w:r w:rsidRPr="002E5468">
        <w:rPr>
          <w:sz w:val="24"/>
          <w:szCs w:val="24"/>
        </w:rPr>
        <w:t xml:space="preserve"> that </w:t>
      </w:r>
      <w:r w:rsidR="00DB1C35" w:rsidRPr="002E5468">
        <w:rPr>
          <w:sz w:val="24"/>
          <w:szCs w:val="24"/>
        </w:rPr>
        <w:t xml:space="preserve">Faculty Senate endorse the recommended </w:t>
      </w:r>
      <w:r w:rsidR="00DE26CD">
        <w:rPr>
          <w:sz w:val="24"/>
          <w:szCs w:val="24"/>
        </w:rPr>
        <w:t>statements of intent</w:t>
      </w:r>
      <w:r w:rsidR="00DB1C35" w:rsidRPr="002E5468">
        <w:rPr>
          <w:sz w:val="24"/>
          <w:szCs w:val="24"/>
        </w:rPr>
        <w:t xml:space="preserve"> for general education at Ohio University;</w:t>
      </w:r>
      <w:r w:rsidR="004166E5">
        <w:rPr>
          <w:sz w:val="24"/>
          <w:szCs w:val="24"/>
        </w:rPr>
        <w:t xml:space="preserve"> and</w:t>
      </w:r>
    </w:p>
    <w:p w14:paraId="189D3C0A" w14:textId="631503E7" w:rsidR="00DE26CD" w:rsidRDefault="00DE26CD" w:rsidP="00A30F65">
      <w:pPr>
        <w:rPr>
          <w:sz w:val="24"/>
          <w:szCs w:val="24"/>
        </w:rPr>
      </w:pPr>
    </w:p>
    <w:p w14:paraId="1526FEDD" w14:textId="56A6E042" w:rsidR="00DE26CD" w:rsidRPr="002E5468" w:rsidRDefault="00DE26CD" w:rsidP="00DE26CD">
      <w:pPr>
        <w:rPr>
          <w:sz w:val="24"/>
          <w:szCs w:val="24"/>
        </w:rPr>
      </w:pPr>
      <w:r>
        <w:rPr>
          <w:i/>
          <w:iCs/>
          <w:sz w:val="24"/>
          <w:szCs w:val="24"/>
        </w:rPr>
        <w:t>B</w:t>
      </w:r>
      <w:r w:rsidRPr="002E5468">
        <w:rPr>
          <w:i/>
          <w:iCs/>
          <w:sz w:val="24"/>
          <w:szCs w:val="24"/>
        </w:rPr>
        <w:t>e it resolved</w:t>
      </w:r>
      <w:r w:rsidRPr="002E5468">
        <w:rPr>
          <w:sz w:val="24"/>
          <w:szCs w:val="24"/>
        </w:rPr>
        <w:t xml:space="preserve"> that Faculty Senate endorse the recommended reimagined curriculum for general education at Ohio University;</w:t>
      </w:r>
      <w:r>
        <w:rPr>
          <w:sz w:val="24"/>
          <w:szCs w:val="24"/>
        </w:rPr>
        <w:t xml:space="preserve"> and</w:t>
      </w:r>
    </w:p>
    <w:p w14:paraId="1486E178" w14:textId="77777777" w:rsidR="004166E5" w:rsidRDefault="004166E5" w:rsidP="00A30F65">
      <w:pPr>
        <w:rPr>
          <w:sz w:val="24"/>
          <w:szCs w:val="24"/>
        </w:rPr>
      </w:pPr>
    </w:p>
    <w:p w14:paraId="581FED6F" w14:textId="38E625A2" w:rsidR="009167F7" w:rsidRDefault="009167F7" w:rsidP="009167F7">
      <w:pPr>
        <w:rPr>
          <w:sz w:val="24"/>
          <w:szCs w:val="24"/>
        </w:rPr>
      </w:pPr>
      <w:r w:rsidRPr="002E5468">
        <w:rPr>
          <w:i/>
          <w:iCs/>
          <w:sz w:val="24"/>
          <w:szCs w:val="24"/>
        </w:rPr>
        <w:t>Be it further resolved</w:t>
      </w:r>
      <w:r w:rsidRPr="002E5468">
        <w:rPr>
          <w:sz w:val="24"/>
          <w:szCs w:val="24"/>
        </w:rPr>
        <w:t xml:space="preserve"> that the Reimagining General Education Task Force and U</w:t>
      </w:r>
      <w:r>
        <w:rPr>
          <w:sz w:val="24"/>
          <w:szCs w:val="24"/>
        </w:rPr>
        <w:t xml:space="preserve">CC </w:t>
      </w:r>
      <w:r w:rsidR="00074DBB">
        <w:rPr>
          <w:sz w:val="24"/>
          <w:szCs w:val="24"/>
        </w:rPr>
        <w:t xml:space="preserve">replace the 2007 “learning objectives and learning outcomes” </w:t>
      </w:r>
      <w:r w:rsidR="00B93C6D">
        <w:rPr>
          <w:sz w:val="24"/>
          <w:szCs w:val="24"/>
        </w:rPr>
        <w:t>(</w:t>
      </w:r>
      <w:r w:rsidR="00074DBB">
        <w:rPr>
          <w:sz w:val="24"/>
          <w:szCs w:val="24"/>
        </w:rPr>
        <w:t xml:space="preserve">from the </w:t>
      </w:r>
      <w:r w:rsidR="00B93C6D">
        <w:rPr>
          <w:sz w:val="24"/>
          <w:szCs w:val="24"/>
        </w:rPr>
        <w:t>UCC</w:t>
      </w:r>
      <w:r w:rsidR="00DE26CD">
        <w:rPr>
          <w:sz w:val="24"/>
          <w:szCs w:val="24"/>
        </w:rPr>
        <w:t>’s</w:t>
      </w:r>
      <w:r w:rsidR="00B93C6D">
        <w:rPr>
          <w:sz w:val="24"/>
          <w:szCs w:val="24"/>
        </w:rPr>
        <w:t xml:space="preserve"> Learning Objectives and Outcomes for General Education, 2007)</w:t>
      </w:r>
      <w:r>
        <w:rPr>
          <w:sz w:val="24"/>
          <w:szCs w:val="24"/>
        </w:rPr>
        <w:t xml:space="preserve"> </w:t>
      </w:r>
      <w:r w:rsidR="00B93C6D">
        <w:rPr>
          <w:sz w:val="24"/>
          <w:szCs w:val="24"/>
        </w:rPr>
        <w:t xml:space="preserve">to </w:t>
      </w:r>
      <w:r w:rsidR="00074DBB">
        <w:rPr>
          <w:sz w:val="24"/>
          <w:szCs w:val="24"/>
        </w:rPr>
        <w:t xml:space="preserve">align with the approved learning outcomes for the </w:t>
      </w:r>
      <w:r w:rsidR="00B93C6D">
        <w:rPr>
          <w:sz w:val="24"/>
          <w:szCs w:val="24"/>
        </w:rPr>
        <w:t>common goal</w:t>
      </w:r>
      <w:r w:rsidR="00DE26CD">
        <w:rPr>
          <w:sz w:val="24"/>
          <w:szCs w:val="24"/>
        </w:rPr>
        <w:t>s,</w:t>
      </w:r>
      <w:r>
        <w:rPr>
          <w:sz w:val="24"/>
          <w:szCs w:val="24"/>
        </w:rPr>
        <w:t xml:space="preserve"> discipline-specific state requirements, HLC expectations, and the endorsed general education </w:t>
      </w:r>
      <w:r w:rsidR="00DE26CD">
        <w:rPr>
          <w:sz w:val="24"/>
          <w:szCs w:val="24"/>
        </w:rPr>
        <w:t>s</w:t>
      </w:r>
      <w:r>
        <w:rPr>
          <w:sz w:val="24"/>
          <w:szCs w:val="24"/>
        </w:rPr>
        <w:t>tatement</w:t>
      </w:r>
      <w:r w:rsidR="00DE26CD">
        <w:rPr>
          <w:sz w:val="24"/>
          <w:szCs w:val="24"/>
        </w:rPr>
        <w:t>s</w:t>
      </w:r>
      <w:r>
        <w:rPr>
          <w:sz w:val="24"/>
          <w:szCs w:val="24"/>
        </w:rPr>
        <w:t xml:space="preserve"> of </w:t>
      </w:r>
      <w:r w:rsidR="00DE26CD">
        <w:rPr>
          <w:sz w:val="24"/>
          <w:szCs w:val="24"/>
        </w:rPr>
        <w:t>i</w:t>
      </w:r>
      <w:r>
        <w:rPr>
          <w:sz w:val="24"/>
          <w:szCs w:val="24"/>
        </w:rPr>
        <w:t xml:space="preserve">ntent; </w:t>
      </w:r>
      <w:r w:rsidR="00DE26CD">
        <w:rPr>
          <w:sz w:val="24"/>
          <w:szCs w:val="24"/>
        </w:rPr>
        <w:t>and</w:t>
      </w:r>
    </w:p>
    <w:p w14:paraId="2F51D72D" w14:textId="77777777" w:rsidR="009167F7" w:rsidRDefault="009167F7" w:rsidP="00A30F65">
      <w:pPr>
        <w:rPr>
          <w:i/>
          <w:iCs/>
          <w:sz w:val="24"/>
          <w:szCs w:val="24"/>
        </w:rPr>
      </w:pPr>
    </w:p>
    <w:p w14:paraId="606E3389" w14:textId="14A59500" w:rsidR="002E5468" w:rsidRPr="002E5468" w:rsidRDefault="004166E5" w:rsidP="00A30F65">
      <w:pPr>
        <w:rPr>
          <w:sz w:val="24"/>
          <w:szCs w:val="24"/>
        </w:rPr>
      </w:pPr>
      <w:r w:rsidRPr="004166E5">
        <w:rPr>
          <w:i/>
          <w:iCs/>
          <w:sz w:val="24"/>
          <w:szCs w:val="24"/>
        </w:rPr>
        <w:t>Be it further resolved</w:t>
      </w:r>
      <w:r>
        <w:rPr>
          <w:sz w:val="24"/>
          <w:szCs w:val="24"/>
        </w:rPr>
        <w:t xml:space="preserve"> that the Reimagining General Education Task Force and UCC develop and/or modify curricular</w:t>
      </w:r>
      <w:r w:rsidR="002E5468">
        <w:rPr>
          <w:sz w:val="24"/>
          <w:szCs w:val="24"/>
        </w:rPr>
        <w:t xml:space="preserve"> </w:t>
      </w:r>
      <w:r w:rsidR="002E5468" w:rsidRPr="002E5468">
        <w:rPr>
          <w:sz w:val="24"/>
          <w:szCs w:val="24"/>
        </w:rPr>
        <w:t>policies and</w:t>
      </w:r>
      <w:r w:rsidR="002E5468">
        <w:rPr>
          <w:sz w:val="24"/>
          <w:szCs w:val="24"/>
        </w:rPr>
        <w:t xml:space="preserve"> </w:t>
      </w:r>
      <w:r w:rsidR="002E5468" w:rsidRPr="002E5468">
        <w:rPr>
          <w:sz w:val="24"/>
          <w:szCs w:val="24"/>
        </w:rPr>
        <w:t xml:space="preserve">processes </w:t>
      </w:r>
      <w:r w:rsidR="002E5468">
        <w:rPr>
          <w:sz w:val="24"/>
          <w:szCs w:val="24"/>
        </w:rPr>
        <w:t>to implement</w:t>
      </w:r>
      <w:r w:rsidR="002E5468" w:rsidRPr="002E5468">
        <w:rPr>
          <w:sz w:val="24"/>
          <w:szCs w:val="24"/>
        </w:rPr>
        <w:t xml:space="preserve"> t</w:t>
      </w:r>
      <w:r w:rsidR="002E5468">
        <w:rPr>
          <w:sz w:val="24"/>
          <w:szCs w:val="24"/>
        </w:rPr>
        <w:t xml:space="preserve">he </w:t>
      </w:r>
      <w:r w:rsidR="002E5468" w:rsidRPr="002E5468">
        <w:rPr>
          <w:sz w:val="24"/>
          <w:szCs w:val="24"/>
        </w:rPr>
        <w:t xml:space="preserve">reimagined </w:t>
      </w:r>
      <w:r w:rsidR="002E5468">
        <w:rPr>
          <w:sz w:val="24"/>
          <w:szCs w:val="24"/>
        </w:rPr>
        <w:t xml:space="preserve">general education </w:t>
      </w:r>
      <w:r w:rsidR="002E5468" w:rsidRPr="002E5468">
        <w:rPr>
          <w:sz w:val="24"/>
          <w:szCs w:val="24"/>
        </w:rPr>
        <w:t>curriculum at Ohio University;</w:t>
      </w:r>
      <w:r w:rsidR="00F84F9C">
        <w:rPr>
          <w:sz w:val="24"/>
          <w:szCs w:val="24"/>
        </w:rPr>
        <w:t xml:space="preserve"> and</w:t>
      </w:r>
    </w:p>
    <w:p w14:paraId="0F01BEDB" w14:textId="77777777" w:rsidR="002E5468" w:rsidRPr="002E5468" w:rsidRDefault="002E5468" w:rsidP="00A30F65">
      <w:pPr>
        <w:rPr>
          <w:sz w:val="24"/>
          <w:szCs w:val="24"/>
        </w:rPr>
      </w:pPr>
    </w:p>
    <w:p w14:paraId="48C17DB1" w14:textId="2EB49CC9" w:rsidR="00DB1C35" w:rsidRDefault="002E5468" w:rsidP="00A30F65">
      <w:pPr>
        <w:rPr>
          <w:sz w:val="24"/>
          <w:szCs w:val="24"/>
        </w:rPr>
      </w:pPr>
      <w:r w:rsidRPr="002E5468">
        <w:rPr>
          <w:i/>
          <w:iCs/>
          <w:sz w:val="24"/>
          <w:szCs w:val="24"/>
        </w:rPr>
        <w:t>Be it further resolved</w:t>
      </w:r>
      <w:r>
        <w:rPr>
          <w:sz w:val="24"/>
          <w:szCs w:val="24"/>
        </w:rPr>
        <w:t xml:space="preserve"> that </w:t>
      </w:r>
      <w:r w:rsidRPr="002E5468">
        <w:rPr>
          <w:sz w:val="24"/>
          <w:szCs w:val="24"/>
        </w:rPr>
        <w:t xml:space="preserve">the Reimagining General Education Task Force and UCC </w:t>
      </w:r>
      <w:r>
        <w:rPr>
          <w:sz w:val="24"/>
          <w:szCs w:val="24"/>
        </w:rPr>
        <w:t>incorporate assessment practices into the implementation</w:t>
      </w:r>
      <w:r w:rsidR="00F75657">
        <w:rPr>
          <w:sz w:val="24"/>
          <w:szCs w:val="24"/>
        </w:rPr>
        <w:t xml:space="preserve"> </w:t>
      </w:r>
      <w:r w:rsidR="00F75657" w:rsidRPr="00F75657">
        <w:rPr>
          <w:sz w:val="24"/>
          <w:szCs w:val="24"/>
        </w:rPr>
        <w:t>to ensure compliance with accreditation criteria and use of institutional assessments, where appropriate</w:t>
      </w:r>
      <w:r w:rsidR="00F75657">
        <w:rPr>
          <w:sz w:val="24"/>
          <w:szCs w:val="24"/>
        </w:rPr>
        <w:t>.</w:t>
      </w:r>
    </w:p>
    <w:p w14:paraId="61EF8C6E" w14:textId="3DEB47C1" w:rsidR="007753DB" w:rsidRDefault="007753DB" w:rsidP="00A30F65">
      <w:pPr>
        <w:rPr>
          <w:sz w:val="24"/>
          <w:szCs w:val="24"/>
        </w:rPr>
      </w:pPr>
    </w:p>
    <w:p w14:paraId="6770AF8A" w14:textId="77777777" w:rsidR="007753DB" w:rsidRDefault="007753DB">
      <w:pPr>
        <w:spacing w:after="160" w:line="259" w:lineRule="auto"/>
        <w:rPr>
          <w:rFonts w:cstheme="minorHAnsi"/>
          <w:b/>
          <w:bCs/>
          <w:sz w:val="24"/>
          <w:szCs w:val="24"/>
        </w:rPr>
      </w:pPr>
      <w:r>
        <w:rPr>
          <w:rFonts w:cstheme="minorHAnsi"/>
          <w:b/>
          <w:bCs/>
          <w:sz w:val="24"/>
          <w:szCs w:val="24"/>
        </w:rPr>
        <w:br w:type="page"/>
      </w:r>
    </w:p>
    <w:p w14:paraId="76184113" w14:textId="6C7F3712" w:rsidR="007753DB" w:rsidRPr="008E16A2" w:rsidRDefault="007753DB" w:rsidP="007753DB">
      <w:pPr>
        <w:jc w:val="center"/>
        <w:rPr>
          <w:rFonts w:cstheme="minorHAnsi"/>
          <w:b/>
          <w:bCs/>
          <w:sz w:val="24"/>
          <w:szCs w:val="24"/>
        </w:rPr>
      </w:pPr>
      <w:r w:rsidRPr="008E16A2">
        <w:rPr>
          <w:rFonts w:cstheme="minorHAnsi"/>
          <w:b/>
          <w:bCs/>
          <w:sz w:val="24"/>
          <w:szCs w:val="24"/>
        </w:rPr>
        <w:lastRenderedPageBreak/>
        <w:t>Appendix: Reimagined General Education</w:t>
      </w:r>
    </w:p>
    <w:p w14:paraId="1B856E04" w14:textId="77777777" w:rsidR="007753DB" w:rsidRPr="008E16A2" w:rsidRDefault="007753DB" w:rsidP="007753DB">
      <w:pPr>
        <w:rPr>
          <w:rFonts w:cstheme="minorHAnsi"/>
          <w:sz w:val="24"/>
          <w:szCs w:val="24"/>
        </w:rPr>
      </w:pPr>
    </w:p>
    <w:p w14:paraId="68DA4985" w14:textId="77777777" w:rsidR="007753DB" w:rsidRPr="008E16A2" w:rsidRDefault="007753DB" w:rsidP="007753DB">
      <w:pPr>
        <w:spacing w:after="120"/>
        <w:rPr>
          <w:rFonts w:cstheme="minorHAnsi"/>
          <w:b/>
          <w:bCs/>
          <w:sz w:val="24"/>
          <w:szCs w:val="24"/>
        </w:rPr>
      </w:pPr>
      <w:bookmarkStart w:id="0" w:name="_Toc29213775"/>
      <w:r w:rsidRPr="008E16A2">
        <w:rPr>
          <w:rFonts w:cstheme="minorHAnsi"/>
          <w:b/>
          <w:bCs/>
          <w:sz w:val="24"/>
          <w:szCs w:val="24"/>
        </w:rPr>
        <w:t>Statement(s) of Intent</w:t>
      </w:r>
      <w:bookmarkEnd w:id="0"/>
    </w:p>
    <w:p w14:paraId="19436AC1" w14:textId="77777777" w:rsidR="007753DB" w:rsidRPr="008E16A2" w:rsidRDefault="007753DB" w:rsidP="007753DB">
      <w:pPr>
        <w:jc w:val="both"/>
        <w:rPr>
          <w:rFonts w:cstheme="minorHAnsi"/>
          <w:sz w:val="24"/>
          <w:szCs w:val="24"/>
        </w:rPr>
      </w:pPr>
      <w:r w:rsidRPr="008E16A2">
        <w:rPr>
          <w:rFonts w:cstheme="minorHAnsi"/>
          <w:sz w:val="24"/>
          <w:szCs w:val="24"/>
        </w:rPr>
        <w:t>The Reimagining General Education Task Force recommends six statements of intent for OHIO’s Reimagined General Education. The six statements are referred to as OHIO BRICKS.</w:t>
      </w:r>
    </w:p>
    <w:p w14:paraId="4A63361E" w14:textId="77777777" w:rsidR="007753DB" w:rsidRPr="008E16A2" w:rsidRDefault="007753DB" w:rsidP="007753DB">
      <w:pPr>
        <w:jc w:val="both"/>
        <w:rPr>
          <w:rFonts w:cstheme="minorHAnsi"/>
          <w:sz w:val="24"/>
          <w:szCs w:val="24"/>
        </w:rPr>
      </w:pPr>
    </w:p>
    <w:tbl>
      <w:tblPr>
        <w:tblStyle w:val="TableGrid"/>
        <w:tblW w:w="5000" w:type="pct"/>
        <w:tblLook w:val="04A0" w:firstRow="1" w:lastRow="0" w:firstColumn="1" w:lastColumn="0" w:noHBand="0" w:noVBand="1"/>
      </w:tblPr>
      <w:tblGrid>
        <w:gridCol w:w="403"/>
        <w:gridCol w:w="8947"/>
      </w:tblGrid>
      <w:tr w:rsidR="007753DB" w:rsidRPr="008E16A2" w14:paraId="077DB31C" w14:textId="77777777" w:rsidTr="00CE722C">
        <w:tc>
          <w:tcPr>
            <w:tcW w:w="199" w:type="pct"/>
            <w:vAlign w:val="center"/>
          </w:tcPr>
          <w:p w14:paraId="5B200C17" w14:textId="77777777" w:rsidR="007753DB" w:rsidRPr="008E16A2" w:rsidRDefault="007753DB" w:rsidP="00CE722C">
            <w:pPr>
              <w:pStyle w:val="NoSpacing"/>
              <w:spacing w:before="0" w:after="0"/>
              <w:jc w:val="both"/>
              <w:rPr>
                <w:rFonts w:cstheme="minorHAnsi"/>
                <w:b/>
                <w:bCs/>
                <w:sz w:val="24"/>
                <w:szCs w:val="24"/>
              </w:rPr>
            </w:pPr>
            <w:r w:rsidRPr="008E16A2">
              <w:rPr>
                <w:rFonts w:cstheme="minorHAnsi"/>
                <w:b/>
                <w:bCs/>
                <w:sz w:val="24"/>
                <w:szCs w:val="24"/>
              </w:rPr>
              <w:t>B</w:t>
            </w:r>
          </w:p>
        </w:tc>
        <w:tc>
          <w:tcPr>
            <w:tcW w:w="4801" w:type="pct"/>
            <w:vAlign w:val="center"/>
          </w:tcPr>
          <w:p w14:paraId="777CBD79" w14:textId="77777777" w:rsidR="007753DB" w:rsidRPr="008E16A2" w:rsidRDefault="007753DB" w:rsidP="00CE722C">
            <w:pPr>
              <w:pStyle w:val="NoSpacing"/>
              <w:spacing w:before="0" w:after="0"/>
              <w:jc w:val="both"/>
              <w:rPr>
                <w:rFonts w:cstheme="minorHAnsi"/>
                <w:sz w:val="24"/>
                <w:szCs w:val="24"/>
              </w:rPr>
            </w:pPr>
            <w:r w:rsidRPr="008E16A2">
              <w:rPr>
                <w:rFonts w:cstheme="minorHAnsi"/>
                <w:sz w:val="24"/>
                <w:szCs w:val="24"/>
              </w:rPr>
              <w:t xml:space="preserve">Students will </w:t>
            </w:r>
            <w:r w:rsidRPr="008E16A2">
              <w:rPr>
                <w:rFonts w:cstheme="minorHAnsi"/>
                <w:b/>
                <w:bCs/>
                <w:sz w:val="24"/>
                <w:szCs w:val="24"/>
              </w:rPr>
              <w:t xml:space="preserve">build </w:t>
            </w:r>
            <w:r w:rsidRPr="008E16A2">
              <w:rPr>
                <w:rFonts w:cstheme="minorHAnsi"/>
                <w:sz w:val="24"/>
                <w:szCs w:val="24"/>
              </w:rPr>
              <w:t>connections between themselves and others through teamwork and intercultural knowledge.</w:t>
            </w:r>
          </w:p>
        </w:tc>
      </w:tr>
      <w:tr w:rsidR="007753DB" w:rsidRPr="008E16A2" w14:paraId="5B017E3E" w14:textId="77777777" w:rsidTr="00CE722C">
        <w:tc>
          <w:tcPr>
            <w:tcW w:w="199" w:type="pct"/>
            <w:vAlign w:val="center"/>
          </w:tcPr>
          <w:p w14:paraId="7C4CFF3A" w14:textId="77777777" w:rsidR="007753DB" w:rsidRPr="008E16A2" w:rsidRDefault="007753DB" w:rsidP="00CE722C">
            <w:pPr>
              <w:pStyle w:val="NoSpacing"/>
              <w:spacing w:before="0" w:after="0"/>
              <w:jc w:val="both"/>
              <w:rPr>
                <w:rFonts w:cstheme="minorHAnsi"/>
                <w:b/>
                <w:bCs/>
                <w:sz w:val="24"/>
                <w:szCs w:val="24"/>
              </w:rPr>
            </w:pPr>
            <w:r w:rsidRPr="008E16A2">
              <w:rPr>
                <w:rFonts w:cstheme="minorHAnsi"/>
                <w:b/>
                <w:bCs/>
                <w:sz w:val="24"/>
                <w:szCs w:val="24"/>
              </w:rPr>
              <w:t>R</w:t>
            </w:r>
          </w:p>
        </w:tc>
        <w:tc>
          <w:tcPr>
            <w:tcW w:w="4801" w:type="pct"/>
            <w:vAlign w:val="center"/>
          </w:tcPr>
          <w:p w14:paraId="30E84DE8" w14:textId="77777777" w:rsidR="007753DB" w:rsidRPr="008E16A2" w:rsidRDefault="007753DB" w:rsidP="00CE722C">
            <w:pPr>
              <w:pStyle w:val="NoSpacing"/>
              <w:spacing w:before="0" w:after="0"/>
              <w:jc w:val="both"/>
              <w:rPr>
                <w:rFonts w:cstheme="minorHAnsi"/>
                <w:sz w:val="24"/>
                <w:szCs w:val="24"/>
              </w:rPr>
            </w:pPr>
            <w:r w:rsidRPr="008E16A2">
              <w:rPr>
                <w:rFonts w:cstheme="minorHAnsi"/>
                <w:sz w:val="24"/>
                <w:szCs w:val="24"/>
              </w:rPr>
              <w:t xml:space="preserve">Students will </w:t>
            </w:r>
            <w:r w:rsidRPr="008E16A2">
              <w:rPr>
                <w:rFonts w:cstheme="minorHAnsi"/>
                <w:b/>
                <w:bCs/>
                <w:sz w:val="24"/>
                <w:szCs w:val="24"/>
              </w:rPr>
              <w:t>reason</w:t>
            </w:r>
            <w:r w:rsidRPr="008E16A2">
              <w:rPr>
                <w:rFonts w:cstheme="minorHAnsi"/>
                <w:sz w:val="24"/>
                <w:szCs w:val="24"/>
              </w:rPr>
              <w:t xml:space="preserve"> quantitatively, critically, and ethically.</w:t>
            </w:r>
          </w:p>
        </w:tc>
      </w:tr>
      <w:tr w:rsidR="007753DB" w:rsidRPr="008E16A2" w14:paraId="16DA63E4" w14:textId="77777777" w:rsidTr="00CE722C">
        <w:tc>
          <w:tcPr>
            <w:tcW w:w="199" w:type="pct"/>
            <w:vAlign w:val="center"/>
          </w:tcPr>
          <w:p w14:paraId="6354FCDE" w14:textId="77777777" w:rsidR="007753DB" w:rsidRPr="008E16A2" w:rsidRDefault="007753DB" w:rsidP="00CE722C">
            <w:pPr>
              <w:pStyle w:val="NoSpacing"/>
              <w:spacing w:before="0" w:after="0"/>
              <w:jc w:val="both"/>
              <w:rPr>
                <w:rFonts w:cstheme="minorHAnsi"/>
                <w:b/>
                <w:bCs/>
                <w:sz w:val="24"/>
                <w:szCs w:val="24"/>
              </w:rPr>
            </w:pPr>
            <w:r w:rsidRPr="008E16A2">
              <w:rPr>
                <w:rFonts w:cstheme="minorHAnsi"/>
                <w:b/>
                <w:bCs/>
                <w:sz w:val="24"/>
                <w:szCs w:val="24"/>
              </w:rPr>
              <w:t>I</w:t>
            </w:r>
          </w:p>
        </w:tc>
        <w:tc>
          <w:tcPr>
            <w:tcW w:w="4801" w:type="pct"/>
            <w:vAlign w:val="center"/>
          </w:tcPr>
          <w:p w14:paraId="4E75C383" w14:textId="77777777" w:rsidR="007753DB" w:rsidRPr="008E16A2" w:rsidRDefault="007753DB" w:rsidP="00CE722C">
            <w:pPr>
              <w:pStyle w:val="NoSpacing"/>
              <w:spacing w:before="0" w:after="0"/>
              <w:jc w:val="both"/>
              <w:rPr>
                <w:rFonts w:cstheme="minorHAnsi"/>
                <w:sz w:val="24"/>
                <w:szCs w:val="24"/>
              </w:rPr>
            </w:pPr>
            <w:r w:rsidRPr="008E16A2">
              <w:rPr>
                <w:rFonts w:cstheme="minorHAnsi"/>
                <w:sz w:val="24"/>
                <w:szCs w:val="24"/>
              </w:rPr>
              <w:t xml:space="preserve">Students will </w:t>
            </w:r>
            <w:r w:rsidRPr="008E16A2">
              <w:rPr>
                <w:rFonts w:cstheme="minorHAnsi"/>
                <w:b/>
                <w:bCs/>
                <w:sz w:val="24"/>
                <w:szCs w:val="24"/>
              </w:rPr>
              <w:t>integrate</w:t>
            </w:r>
            <w:r w:rsidRPr="008E16A2">
              <w:rPr>
                <w:rFonts w:cstheme="minorHAnsi"/>
                <w:sz w:val="24"/>
                <w:szCs w:val="24"/>
              </w:rPr>
              <w:t xml:space="preserve"> learning between knowledge and experience.</w:t>
            </w:r>
          </w:p>
        </w:tc>
      </w:tr>
      <w:tr w:rsidR="007753DB" w:rsidRPr="008E16A2" w14:paraId="71F5C6FE" w14:textId="77777777" w:rsidTr="00CE722C">
        <w:tc>
          <w:tcPr>
            <w:tcW w:w="199" w:type="pct"/>
            <w:vAlign w:val="center"/>
          </w:tcPr>
          <w:p w14:paraId="5336D980" w14:textId="77777777" w:rsidR="007753DB" w:rsidRPr="008E16A2" w:rsidRDefault="007753DB" w:rsidP="00CE722C">
            <w:pPr>
              <w:pStyle w:val="NoSpacing"/>
              <w:spacing w:before="0" w:after="0"/>
              <w:jc w:val="both"/>
              <w:rPr>
                <w:rFonts w:cstheme="minorHAnsi"/>
                <w:b/>
                <w:bCs/>
                <w:sz w:val="24"/>
                <w:szCs w:val="24"/>
              </w:rPr>
            </w:pPr>
            <w:r w:rsidRPr="008E16A2">
              <w:rPr>
                <w:rFonts w:cstheme="minorHAnsi"/>
                <w:b/>
                <w:bCs/>
                <w:sz w:val="24"/>
                <w:szCs w:val="24"/>
              </w:rPr>
              <w:t>C</w:t>
            </w:r>
          </w:p>
        </w:tc>
        <w:tc>
          <w:tcPr>
            <w:tcW w:w="4801" w:type="pct"/>
            <w:vAlign w:val="center"/>
          </w:tcPr>
          <w:p w14:paraId="7A42DBC3" w14:textId="77777777" w:rsidR="007753DB" w:rsidRPr="008E16A2" w:rsidRDefault="007753DB" w:rsidP="00CE722C">
            <w:pPr>
              <w:pStyle w:val="NoSpacing"/>
              <w:spacing w:before="0" w:after="0"/>
              <w:jc w:val="both"/>
              <w:rPr>
                <w:rFonts w:cstheme="minorHAnsi"/>
                <w:sz w:val="24"/>
                <w:szCs w:val="24"/>
              </w:rPr>
            </w:pPr>
            <w:r w:rsidRPr="008E16A2">
              <w:rPr>
                <w:rFonts w:cstheme="minorHAnsi"/>
                <w:sz w:val="24"/>
                <w:szCs w:val="24"/>
              </w:rPr>
              <w:t xml:space="preserve">Students will </w:t>
            </w:r>
            <w:r w:rsidRPr="008E16A2">
              <w:rPr>
                <w:rFonts w:cstheme="minorHAnsi"/>
                <w:b/>
                <w:bCs/>
                <w:sz w:val="24"/>
                <w:szCs w:val="24"/>
              </w:rPr>
              <w:t>communicate</w:t>
            </w:r>
            <w:r w:rsidRPr="008E16A2">
              <w:rPr>
                <w:rFonts w:cstheme="minorHAnsi"/>
                <w:sz w:val="24"/>
                <w:szCs w:val="24"/>
              </w:rPr>
              <w:t xml:space="preserve"> effectively in writing and speech.</w:t>
            </w:r>
          </w:p>
        </w:tc>
      </w:tr>
      <w:tr w:rsidR="007753DB" w:rsidRPr="008E16A2" w14:paraId="3970A2D0" w14:textId="77777777" w:rsidTr="00CE722C">
        <w:tc>
          <w:tcPr>
            <w:tcW w:w="199" w:type="pct"/>
            <w:vAlign w:val="center"/>
          </w:tcPr>
          <w:p w14:paraId="7CDFE18D" w14:textId="77777777" w:rsidR="007753DB" w:rsidRPr="008E16A2" w:rsidRDefault="007753DB" w:rsidP="00CE722C">
            <w:pPr>
              <w:pStyle w:val="NoSpacing"/>
              <w:spacing w:before="0" w:after="0"/>
              <w:jc w:val="both"/>
              <w:rPr>
                <w:rFonts w:cstheme="minorHAnsi"/>
                <w:b/>
                <w:bCs/>
                <w:sz w:val="24"/>
                <w:szCs w:val="24"/>
              </w:rPr>
            </w:pPr>
            <w:r w:rsidRPr="008E16A2">
              <w:rPr>
                <w:rFonts w:cstheme="minorHAnsi"/>
                <w:b/>
                <w:bCs/>
                <w:sz w:val="24"/>
                <w:szCs w:val="24"/>
              </w:rPr>
              <w:t>K</w:t>
            </w:r>
          </w:p>
        </w:tc>
        <w:tc>
          <w:tcPr>
            <w:tcW w:w="4801" w:type="pct"/>
            <w:vAlign w:val="center"/>
          </w:tcPr>
          <w:p w14:paraId="33DCD1FD" w14:textId="77777777" w:rsidR="007753DB" w:rsidRPr="008E16A2" w:rsidRDefault="007753DB" w:rsidP="00CE722C">
            <w:pPr>
              <w:pStyle w:val="NoSpacing"/>
              <w:spacing w:before="0" w:after="0"/>
              <w:jc w:val="both"/>
              <w:rPr>
                <w:rFonts w:cstheme="minorHAnsi"/>
                <w:sz w:val="24"/>
                <w:szCs w:val="24"/>
              </w:rPr>
            </w:pPr>
            <w:r w:rsidRPr="008E16A2">
              <w:rPr>
                <w:rFonts w:cstheme="minorHAnsi"/>
                <w:sz w:val="24"/>
                <w:szCs w:val="24"/>
              </w:rPr>
              <w:t xml:space="preserve">Students will </w:t>
            </w:r>
            <w:r w:rsidRPr="008E16A2">
              <w:rPr>
                <w:rFonts w:cstheme="minorHAnsi"/>
                <w:b/>
                <w:bCs/>
                <w:sz w:val="24"/>
                <w:szCs w:val="24"/>
              </w:rPr>
              <w:t>know</w:t>
            </w:r>
            <w:r w:rsidRPr="008E16A2">
              <w:rPr>
                <w:rFonts w:cstheme="minorHAnsi"/>
                <w:sz w:val="24"/>
                <w:szCs w:val="24"/>
              </w:rPr>
              <w:t xml:space="preserve"> the materials and methods of inquiry in arts, humanities, social sciences, and natural sciences.</w:t>
            </w:r>
          </w:p>
        </w:tc>
      </w:tr>
      <w:tr w:rsidR="007753DB" w:rsidRPr="008E16A2" w14:paraId="484469A3" w14:textId="77777777" w:rsidTr="00CE722C">
        <w:tc>
          <w:tcPr>
            <w:tcW w:w="199" w:type="pct"/>
            <w:vAlign w:val="center"/>
          </w:tcPr>
          <w:p w14:paraId="3122DF7A" w14:textId="77777777" w:rsidR="007753DB" w:rsidRPr="008E16A2" w:rsidRDefault="007753DB" w:rsidP="00CE722C">
            <w:pPr>
              <w:pStyle w:val="NoSpacing"/>
              <w:spacing w:before="0" w:after="0"/>
              <w:jc w:val="both"/>
              <w:rPr>
                <w:rFonts w:cstheme="minorHAnsi"/>
                <w:b/>
                <w:bCs/>
                <w:sz w:val="24"/>
                <w:szCs w:val="24"/>
              </w:rPr>
            </w:pPr>
            <w:r w:rsidRPr="008E16A2">
              <w:rPr>
                <w:rFonts w:cstheme="minorHAnsi"/>
                <w:b/>
                <w:bCs/>
                <w:sz w:val="24"/>
                <w:szCs w:val="24"/>
              </w:rPr>
              <w:t>S</w:t>
            </w:r>
          </w:p>
        </w:tc>
        <w:tc>
          <w:tcPr>
            <w:tcW w:w="4801" w:type="pct"/>
            <w:vAlign w:val="center"/>
          </w:tcPr>
          <w:p w14:paraId="21E423F6" w14:textId="77777777" w:rsidR="007753DB" w:rsidRPr="008E16A2" w:rsidRDefault="007753DB" w:rsidP="00CE722C">
            <w:pPr>
              <w:pStyle w:val="NoSpacing"/>
              <w:spacing w:before="0" w:after="0"/>
              <w:jc w:val="both"/>
              <w:rPr>
                <w:rFonts w:cstheme="minorHAnsi"/>
                <w:sz w:val="24"/>
                <w:szCs w:val="24"/>
              </w:rPr>
            </w:pPr>
            <w:r w:rsidRPr="008E16A2">
              <w:rPr>
                <w:rFonts w:cstheme="minorHAnsi"/>
                <w:sz w:val="24"/>
                <w:szCs w:val="24"/>
              </w:rPr>
              <w:t xml:space="preserve">Students will </w:t>
            </w:r>
            <w:r w:rsidRPr="008E16A2">
              <w:rPr>
                <w:rFonts w:cstheme="minorHAnsi"/>
                <w:b/>
                <w:bCs/>
                <w:sz w:val="24"/>
                <w:szCs w:val="24"/>
              </w:rPr>
              <w:t>synthesize</w:t>
            </w:r>
            <w:r w:rsidRPr="008E16A2">
              <w:rPr>
                <w:rFonts w:cstheme="minorHAnsi"/>
                <w:sz w:val="24"/>
                <w:szCs w:val="24"/>
              </w:rPr>
              <w:t xml:space="preserve"> skills and knowledge across the curriculum.</w:t>
            </w:r>
          </w:p>
        </w:tc>
      </w:tr>
    </w:tbl>
    <w:p w14:paraId="039560D2" w14:textId="77777777" w:rsidR="007753DB" w:rsidRPr="008E16A2" w:rsidRDefault="007753DB" w:rsidP="007753DB">
      <w:pPr>
        <w:jc w:val="both"/>
        <w:rPr>
          <w:rFonts w:cstheme="minorHAnsi"/>
          <w:sz w:val="24"/>
          <w:szCs w:val="24"/>
        </w:rPr>
      </w:pPr>
    </w:p>
    <w:p w14:paraId="14AFFA29" w14:textId="77777777" w:rsidR="007753DB" w:rsidRPr="008E16A2" w:rsidRDefault="007753DB" w:rsidP="007753DB">
      <w:pPr>
        <w:spacing w:after="120"/>
        <w:jc w:val="both"/>
        <w:rPr>
          <w:rFonts w:cstheme="minorHAnsi"/>
          <w:b/>
          <w:bCs/>
          <w:sz w:val="24"/>
          <w:szCs w:val="24"/>
        </w:rPr>
      </w:pPr>
      <w:r w:rsidRPr="008E16A2">
        <w:rPr>
          <w:rFonts w:cstheme="minorHAnsi"/>
          <w:b/>
          <w:bCs/>
          <w:sz w:val="24"/>
          <w:szCs w:val="24"/>
        </w:rPr>
        <w:t>Recommended Model</w:t>
      </w:r>
    </w:p>
    <w:p w14:paraId="3E1CAE44" w14:textId="77777777" w:rsidR="007753DB" w:rsidRPr="008E16A2" w:rsidRDefault="007753DB" w:rsidP="007753DB">
      <w:pPr>
        <w:jc w:val="both"/>
        <w:rPr>
          <w:rFonts w:cstheme="minorHAnsi"/>
          <w:sz w:val="24"/>
          <w:szCs w:val="24"/>
        </w:rPr>
      </w:pPr>
      <w:r w:rsidRPr="008E16A2">
        <w:rPr>
          <w:rFonts w:cstheme="minorHAnsi"/>
          <w:sz w:val="24"/>
          <w:szCs w:val="24"/>
        </w:rPr>
        <w:t xml:space="preserve">The Reimagining General Education Leadership Team recommends a </w:t>
      </w:r>
      <w:r w:rsidRPr="008E16A2">
        <w:rPr>
          <w:rFonts w:cstheme="minorHAnsi"/>
          <w:b/>
          <w:bCs/>
          <w:sz w:val="24"/>
          <w:szCs w:val="24"/>
        </w:rPr>
        <w:t>blended model</w:t>
      </w:r>
      <w:r w:rsidRPr="008E16A2">
        <w:rPr>
          <w:rFonts w:cstheme="minorHAnsi"/>
          <w:sz w:val="24"/>
          <w:szCs w:val="24"/>
        </w:rPr>
        <w:t xml:space="preserve"> where elements of a distribution model and integrative model are combined to create a meaningful, cohesive general education program. The recommended model (</w:t>
      </w:r>
      <w:r w:rsidRPr="008E16A2">
        <w:rPr>
          <w:rFonts w:cstheme="minorHAnsi"/>
          <w:b/>
          <w:bCs/>
          <w:sz w:val="24"/>
          <w:szCs w:val="24"/>
        </w:rPr>
        <w:t>Figure</w:t>
      </w:r>
      <w:r w:rsidRPr="008E16A2">
        <w:rPr>
          <w:rFonts w:cstheme="minorHAnsi"/>
          <w:sz w:val="24"/>
          <w:szCs w:val="24"/>
        </w:rPr>
        <w:t>) includes six high-impact educational practices: common intellectual experience, writing-intensive courses, collaborative assignments / projects, diversity learning, experiential learning, and capstone courses / projects.</w:t>
      </w:r>
    </w:p>
    <w:p w14:paraId="6D564975" w14:textId="77777777" w:rsidR="007753DB" w:rsidRPr="008E16A2" w:rsidRDefault="007753DB" w:rsidP="007753DB">
      <w:pPr>
        <w:pStyle w:val="Caption"/>
        <w:keepNext/>
        <w:jc w:val="center"/>
        <w:rPr>
          <w:rFonts w:cstheme="minorHAnsi"/>
          <w:b/>
          <w:bCs/>
          <w:sz w:val="24"/>
          <w:szCs w:val="24"/>
        </w:rPr>
      </w:pPr>
      <w:r w:rsidRPr="008E16A2">
        <w:rPr>
          <w:rFonts w:cstheme="minorHAnsi"/>
          <w:b/>
          <w:bCs/>
          <w:sz w:val="24"/>
          <w:szCs w:val="24"/>
        </w:rPr>
        <w:t>Figure: OHIO BRICKS General Education Model</w:t>
      </w:r>
    </w:p>
    <w:p w14:paraId="224CF6C8" w14:textId="77777777" w:rsidR="007753DB" w:rsidRPr="008E16A2" w:rsidRDefault="007753DB" w:rsidP="007753DB">
      <w:pPr>
        <w:jc w:val="both"/>
        <w:rPr>
          <w:rFonts w:cstheme="minorHAnsi"/>
          <w:b/>
          <w:bCs/>
          <w:sz w:val="24"/>
          <w:szCs w:val="24"/>
        </w:rPr>
      </w:pPr>
      <w:r w:rsidRPr="008E16A2">
        <w:rPr>
          <w:rFonts w:cstheme="minorHAnsi"/>
          <w:b/>
          <w:bCs/>
          <w:noProof/>
          <w:sz w:val="24"/>
          <w:szCs w:val="24"/>
        </w:rPr>
        <w:drawing>
          <wp:inline distT="0" distB="0" distL="0" distR="0" wp14:anchorId="2C8B3606" wp14:editId="73A459E5">
            <wp:extent cx="5913917" cy="2857714"/>
            <wp:effectExtent l="19050" t="19050" r="1079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5" t="10967" r="934" b="5438"/>
                    <a:stretch/>
                  </pic:blipFill>
                  <pic:spPr bwMode="auto">
                    <a:xfrm>
                      <a:off x="0" y="0"/>
                      <a:ext cx="5925927" cy="2863517"/>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DA41212" w14:textId="77777777" w:rsidR="007753DB" w:rsidRPr="008E16A2" w:rsidRDefault="007753DB" w:rsidP="007753DB">
      <w:pPr>
        <w:keepNext/>
        <w:jc w:val="both"/>
        <w:rPr>
          <w:rFonts w:cstheme="minorHAnsi"/>
          <w:sz w:val="24"/>
          <w:szCs w:val="24"/>
        </w:rPr>
      </w:pPr>
    </w:p>
    <w:p w14:paraId="1A563E51" w14:textId="77777777" w:rsidR="007753DB" w:rsidRPr="008E16A2" w:rsidRDefault="007753DB" w:rsidP="007753DB">
      <w:pPr>
        <w:keepNext/>
        <w:jc w:val="both"/>
        <w:rPr>
          <w:rFonts w:cstheme="minorHAnsi"/>
          <w:sz w:val="24"/>
          <w:szCs w:val="24"/>
        </w:rPr>
      </w:pPr>
      <w:r w:rsidRPr="008E16A2">
        <w:rPr>
          <w:rFonts w:cstheme="minorHAnsi"/>
          <w:sz w:val="24"/>
          <w:szCs w:val="24"/>
        </w:rPr>
        <w:t>The recommended model includes a minimum of 38 credit hours across five general education categories: foundations, pillars, arches, bridges, and capstones. For each category, components limited to only courses that have O</w:t>
      </w:r>
      <w:r>
        <w:rPr>
          <w:rFonts w:cstheme="minorHAnsi"/>
          <w:sz w:val="24"/>
          <w:szCs w:val="24"/>
        </w:rPr>
        <w:t xml:space="preserve">hio Transfer Module (OTM) approval </w:t>
      </w:r>
      <w:r w:rsidRPr="008E16A2">
        <w:rPr>
          <w:rFonts w:cstheme="minorHAnsi"/>
          <w:sz w:val="24"/>
          <w:szCs w:val="24"/>
        </w:rPr>
        <w:t xml:space="preserve">to meet state general </w:t>
      </w:r>
      <w:r w:rsidRPr="008E16A2">
        <w:rPr>
          <w:rFonts w:cstheme="minorHAnsi"/>
          <w:sz w:val="24"/>
          <w:szCs w:val="24"/>
        </w:rPr>
        <w:lastRenderedPageBreak/>
        <w:t>education requirements are noted with an asterisk (*). Minimum credit hours are noted for each category and each component.</w:t>
      </w:r>
    </w:p>
    <w:p w14:paraId="79A173FA" w14:textId="77777777" w:rsidR="007753DB" w:rsidRPr="008E16A2" w:rsidRDefault="007753DB" w:rsidP="007753DB">
      <w:pPr>
        <w:keepNext/>
        <w:jc w:val="both"/>
        <w:rPr>
          <w:rFonts w:cstheme="minorHAnsi"/>
          <w:sz w:val="24"/>
          <w:szCs w:val="24"/>
        </w:rPr>
      </w:pPr>
    </w:p>
    <w:p w14:paraId="41EB33C2" w14:textId="77777777" w:rsidR="007753DB" w:rsidRPr="008E16A2" w:rsidRDefault="007753DB" w:rsidP="007753DB">
      <w:pPr>
        <w:pStyle w:val="NoSpacing"/>
        <w:spacing w:before="0"/>
        <w:rPr>
          <w:rFonts w:cstheme="minorHAnsi"/>
          <w:sz w:val="24"/>
          <w:szCs w:val="24"/>
        </w:rPr>
      </w:pPr>
      <w:r w:rsidRPr="008E16A2">
        <w:rPr>
          <w:rFonts w:cstheme="minorHAnsi"/>
          <w:b/>
          <w:bCs/>
          <w:sz w:val="24"/>
          <w:szCs w:val="24"/>
        </w:rPr>
        <w:t xml:space="preserve">Category 1: Foundations </w:t>
      </w:r>
      <w:r w:rsidRPr="008E16A2">
        <w:rPr>
          <w:rFonts w:cstheme="minorHAnsi"/>
          <w:sz w:val="24"/>
          <w:szCs w:val="24"/>
        </w:rPr>
        <w:t>(minimum = 11 credit hours)</w:t>
      </w:r>
    </w:p>
    <w:p w14:paraId="772D6FB7" w14:textId="77777777" w:rsidR="007753DB" w:rsidRPr="008E16A2" w:rsidRDefault="007753DB" w:rsidP="007753DB">
      <w:pPr>
        <w:pStyle w:val="NoSpacing"/>
        <w:shd w:val="clear" w:color="auto" w:fill="F2F2F2" w:themeFill="background1" w:themeFillShade="F2"/>
        <w:spacing w:before="0"/>
        <w:jc w:val="center"/>
        <w:rPr>
          <w:rFonts w:cstheme="minorHAnsi"/>
          <w:sz w:val="24"/>
          <w:szCs w:val="24"/>
        </w:rPr>
      </w:pPr>
      <w:bookmarkStart w:id="1" w:name="_Hlk23451518"/>
      <w:r w:rsidRPr="008E16A2">
        <w:rPr>
          <w:rFonts w:cstheme="minorHAnsi"/>
          <w:sz w:val="24"/>
          <w:szCs w:val="24"/>
        </w:rPr>
        <w:t xml:space="preserve">Foundations </w:t>
      </w:r>
      <w:r w:rsidRPr="008E16A2">
        <w:rPr>
          <w:rFonts w:cstheme="minorHAnsi"/>
          <w:i/>
          <w:iCs/>
          <w:sz w:val="24"/>
          <w:szCs w:val="24"/>
        </w:rPr>
        <w:t>ground</w:t>
      </w:r>
      <w:r w:rsidRPr="008E16A2">
        <w:rPr>
          <w:rFonts w:cstheme="minorHAnsi"/>
          <w:sz w:val="24"/>
          <w:szCs w:val="24"/>
        </w:rPr>
        <w:t xml:space="preserve"> general education.</w:t>
      </w:r>
    </w:p>
    <w:p w14:paraId="2523C24F" w14:textId="77777777" w:rsidR="007753DB" w:rsidRPr="008E16A2" w:rsidRDefault="007753DB" w:rsidP="007753DB">
      <w:pPr>
        <w:pStyle w:val="NoSpacing"/>
        <w:spacing w:before="0"/>
        <w:jc w:val="both"/>
        <w:rPr>
          <w:rFonts w:cstheme="minorHAnsi"/>
          <w:sz w:val="24"/>
          <w:szCs w:val="24"/>
        </w:rPr>
      </w:pPr>
      <w:r w:rsidRPr="008E16A2">
        <w:rPr>
          <w:rFonts w:cstheme="minorHAnsi"/>
          <w:sz w:val="24"/>
          <w:szCs w:val="24"/>
        </w:rPr>
        <w:t>Foundations should provide coursework to develop students’ abilities to communicate effectively through writing, to use quantitative reasoning, and to develop global and domestic intercultural knowledge and competence. For each requirement, the majority of the course content and experiences should focus on the common goal.</w:t>
      </w:r>
    </w:p>
    <w:tbl>
      <w:tblPr>
        <w:tblStyle w:val="TableGridLight"/>
        <w:tblW w:w="5000" w:type="pct"/>
        <w:tblLook w:val="0420" w:firstRow="1" w:lastRow="0" w:firstColumn="0" w:lastColumn="0" w:noHBand="0" w:noVBand="1"/>
      </w:tblPr>
      <w:tblGrid>
        <w:gridCol w:w="3160"/>
        <w:gridCol w:w="1324"/>
        <w:gridCol w:w="4866"/>
      </w:tblGrid>
      <w:tr w:rsidR="007753DB" w:rsidRPr="008E16A2" w14:paraId="789947E3" w14:textId="77777777" w:rsidTr="00CE722C">
        <w:tc>
          <w:tcPr>
            <w:tcW w:w="1690" w:type="pct"/>
            <w:hideMark/>
          </w:tcPr>
          <w:p w14:paraId="67E209DE"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Requirement(s)</w:t>
            </w:r>
          </w:p>
        </w:tc>
        <w:tc>
          <w:tcPr>
            <w:tcW w:w="708" w:type="pct"/>
            <w:hideMark/>
          </w:tcPr>
          <w:p w14:paraId="65A17A30" w14:textId="77777777" w:rsidR="007753DB" w:rsidRPr="008E16A2" w:rsidRDefault="007753DB" w:rsidP="00CE722C">
            <w:pPr>
              <w:spacing w:before="0"/>
              <w:contextualSpacing/>
              <w:jc w:val="center"/>
              <w:rPr>
                <w:rFonts w:eastAsia="Book Antiqua" w:cstheme="minorHAnsi"/>
                <w:b/>
                <w:bCs/>
                <w:sz w:val="24"/>
                <w:szCs w:val="24"/>
              </w:rPr>
            </w:pPr>
            <w:r w:rsidRPr="008E16A2">
              <w:rPr>
                <w:rFonts w:eastAsia="Book Antiqua" w:cstheme="minorHAnsi"/>
                <w:b/>
                <w:bCs/>
                <w:sz w:val="24"/>
                <w:szCs w:val="24"/>
              </w:rPr>
              <w:t>Min. Hrs.</w:t>
            </w:r>
          </w:p>
        </w:tc>
        <w:tc>
          <w:tcPr>
            <w:tcW w:w="2601" w:type="pct"/>
            <w:hideMark/>
          </w:tcPr>
          <w:p w14:paraId="7ED97CE5"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Common Goal(s)</w:t>
            </w:r>
          </w:p>
        </w:tc>
      </w:tr>
      <w:tr w:rsidR="007753DB" w:rsidRPr="008E16A2" w14:paraId="21322825" w14:textId="77777777" w:rsidTr="00CE722C">
        <w:tc>
          <w:tcPr>
            <w:tcW w:w="1690" w:type="pct"/>
            <w:hideMark/>
          </w:tcPr>
          <w:p w14:paraId="2B67C27B"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*Written Communication</w:t>
            </w:r>
          </w:p>
        </w:tc>
        <w:tc>
          <w:tcPr>
            <w:tcW w:w="708" w:type="pct"/>
            <w:hideMark/>
          </w:tcPr>
          <w:p w14:paraId="469CBBA1"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01" w:type="pct"/>
            <w:hideMark/>
          </w:tcPr>
          <w:p w14:paraId="05D6EC41"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Written Communication</w:t>
            </w:r>
          </w:p>
        </w:tc>
      </w:tr>
      <w:tr w:rsidR="007753DB" w:rsidRPr="008E16A2" w14:paraId="0B57D920" w14:textId="77777777" w:rsidTr="00CE722C">
        <w:tc>
          <w:tcPr>
            <w:tcW w:w="1690" w:type="pct"/>
            <w:hideMark/>
          </w:tcPr>
          <w:p w14:paraId="1C3AE591"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Advanced Writing</w:t>
            </w:r>
            <w:bookmarkEnd w:id="1"/>
            <w:r w:rsidRPr="008E16A2">
              <w:rPr>
                <w:rStyle w:val="EndnoteReference"/>
                <w:rFonts w:eastAsia="Book Antiqua" w:cstheme="minorHAnsi"/>
                <w:sz w:val="24"/>
                <w:szCs w:val="24"/>
              </w:rPr>
              <w:endnoteReference w:id="1"/>
            </w:r>
          </w:p>
        </w:tc>
        <w:tc>
          <w:tcPr>
            <w:tcW w:w="708" w:type="pct"/>
            <w:hideMark/>
          </w:tcPr>
          <w:p w14:paraId="1A85A227"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01" w:type="pct"/>
            <w:hideMark/>
          </w:tcPr>
          <w:p w14:paraId="13AA67AB"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Written Communication</w:t>
            </w:r>
          </w:p>
        </w:tc>
      </w:tr>
      <w:tr w:rsidR="007753DB" w:rsidRPr="008E16A2" w14:paraId="52B0493B" w14:textId="77777777" w:rsidTr="00CE722C">
        <w:tc>
          <w:tcPr>
            <w:tcW w:w="1690" w:type="pct"/>
            <w:hideMark/>
          </w:tcPr>
          <w:p w14:paraId="44315779"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*Quantitative Reasoning</w:t>
            </w:r>
          </w:p>
        </w:tc>
        <w:tc>
          <w:tcPr>
            <w:tcW w:w="708" w:type="pct"/>
            <w:hideMark/>
          </w:tcPr>
          <w:p w14:paraId="33F5954C"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01" w:type="pct"/>
            <w:hideMark/>
          </w:tcPr>
          <w:p w14:paraId="6F6D645D"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Quantitative Reasoning</w:t>
            </w:r>
          </w:p>
        </w:tc>
      </w:tr>
      <w:tr w:rsidR="007753DB" w:rsidRPr="008E16A2" w14:paraId="16FDCF49" w14:textId="77777777" w:rsidTr="00CE722C">
        <w:tc>
          <w:tcPr>
            <w:tcW w:w="1690" w:type="pct"/>
            <w:hideMark/>
          </w:tcPr>
          <w:p w14:paraId="4FF6499A"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Intercultural Explorations</w:t>
            </w:r>
            <w:r w:rsidRPr="008E16A2">
              <w:rPr>
                <w:rStyle w:val="EndnoteReference"/>
                <w:rFonts w:eastAsia="Book Antiqua" w:cstheme="minorHAnsi"/>
                <w:sz w:val="24"/>
                <w:szCs w:val="24"/>
              </w:rPr>
              <w:endnoteReference w:id="2"/>
            </w:r>
          </w:p>
        </w:tc>
        <w:tc>
          <w:tcPr>
            <w:tcW w:w="708" w:type="pct"/>
            <w:hideMark/>
          </w:tcPr>
          <w:p w14:paraId="36728BBD"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2</w:t>
            </w:r>
          </w:p>
        </w:tc>
        <w:tc>
          <w:tcPr>
            <w:tcW w:w="2601" w:type="pct"/>
            <w:hideMark/>
          </w:tcPr>
          <w:p w14:paraId="63678FA0"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Intercultural Knowledge and Competence</w:t>
            </w:r>
          </w:p>
        </w:tc>
      </w:tr>
    </w:tbl>
    <w:p w14:paraId="2205D50D" w14:textId="77777777" w:rsidR="007753DB" w:rsidRPr="008E16A2" w:rsidRDefault="007753DB" w:rsidP="007753DB">
      <w:pPr>
        <w:contextualSpacing/>
        <w:rPr>
          <w:rFonts w:eastAsia="Book Antiqua" w:cstheme="minorHAnsi"/>
          <w:b/>
          <w:bCs/>
          <w:sz w:val="24"/>
          <w:szCs w:val="24"/>
        </w:rPr>
      </w:pPr>
    </w:p>
    <w:p w14:paraId="54CB09AC" w14:textId="77777777" w:rsidR="007753DB" w:rsidRPr="00D33965" w:rsidRDefault="007753DB" w:rsidP="007753DB">
      <w:pPr>
        <w:spacing w:after="120"/>
        <w:rPr>
          <w:rFonts w:eastAsia="Book Antiqua" w:cstheme="minorHAnsi"/>
          <w:sz w:val="24"/>
          <w:szCs w:val="24"/>
        </w:rPr>
      </w:pPr>
      <w:r w:rsidRPr="008E16A2">
        <w:rPr>
          <w:rFonts w:eastAsia="Book Antiqua" w:cstheme="minorHAnsi"/>
          <w:b/>
          <w:bCs/>
          <w:sz w:val="24"/>
          <w:szCs w:val="24"/>
        </w:rPr>
        <w:t>Category 2: Pillars</w:t>
      </w:r>
      <w:r w:rsidRPr="008E16A2">
        <w:rPr>
          <w:rStyle w:val="EndnoteReference"/>
          <w:rFonts w:eastAsia="Book Antiqua" w:cstheme="minorHAnsi"/>
          <w:b/>
          <w:bCs/>
          <w:sz w:val="24"/>
          <w:szCs w:val="24"/>
        </w:rPr>
        <w:endnoteReference w:id="3"/>
      </w:r>
      <w:r w:rsidRPr="008E16A2">
        <w:rPr>
          <w:rFonts w:eastAsia="Book Antiqua" w:cstheme="minorHAnsi"/>
          <w:b/>
          <w:bCs/>
          <w:sz w:val="24"/>
          <w:szCs w:val="24"/>
        </w:rPr>
        <w:t xml:space="preserve"> </w:t>
      </w:r>
      <w:bookmarkStart w:id="2" w:name="_Hlk24655483"/>
      <w:r w:rsidRPr="008E16A2">
        <w:rPr>
          <w:rFonts w:eastAsia="Book Antiqua" w:cstheme="minorHAnsi"/>
          <w:sz w:val="24"/>
          <w:szCs w:val="24"/>
        </w:rPr>
        <w:t>(minimum = 12 credit hours)</w:t>
      </w:r>
      <w:bookmarkEnd w:id="2"/>
    </w:p>
    <w:p w14:paraId="0C3EDCEF" w14:textId="77777777" w:rsidR="007753DB" w:rsidRPr="008E16A2" w:rsidRDefault="007753DB" w:rsidP="007753DB">
      <w:pPr>
        <w:shd w:val="clear" w:color="auto" w:fill="F2F2F2" w:themeFill="background1" w:themeFillShade="F2"/>
        <w:spacing w:after="120"/>
        <w:jc w:val="center"/>
        <w:rPr>
          <w:rFonts w:eastAsia="Book Antiqua" w:cstheme="minorHAnsi"/>
          <w:sz w:val="24"/>
          <w:szCs w:val="24"/>
        </w:rPr>
      </w:pPr>
      <w:r w:rsidRPr="008E16A2">
        <w:rPr>
          <w:rFonts w:eastAsia="Book Antiqua" w:cstheme="minorHAnsi"/>
          <w:sz w:val="24"/>
          <w:szCs w:val="24"/>
        </w:rPr>
        <w:t xml:space="preserve">Pillars </w:t>
      </w:r>
      <w:r w:rsidRPr="008E16A2">
        <w:rPr>
          <w:rFonts w:eastAsia="Book Antiqua" w:cstheme="minorHAnsi"/>
          <w:i/>
          <w:iCs/>
          <w:sz w:val="24"/>
          <w:szCs w:val="24"/>
        </w:rPr>
        <w:t>support</w:t>
      </w:r>
      <w:r w:rsidRPr="008E16A2">
        <w:rPr>
          <w:rFonts w:eastAsia="Book Antiqua" w:cstheme="minorHAnsi"/>
          <w:sz w:val="24"/>
          <w:szCs w:val="24"/>
        </w:rPr>
        <w:t xml:space="preserve"> breadth of knowledge.</w:t>
      </w:r>
    </w:p>
    <w:p w14:paraId="62AE814F" w14:textId="77777777" w:rsidR="007753DB" w:rsidRPr="008E16A2" w:rsidRDefault="007753DB" w:rsidP="007753DB">
      <w:pPr>
        <w:spacing w:after="120"/>
        <w:jc w:val="both"/>
        <w:rPr>
          <w:rFonts w:eastAsia="Book Antiqua" w:cstheme="minorHAnsi"/>
          <w:sz w:val="24"/>
          <w:szCs w:val="24"/>
        </w:rPr>
      </w:pPr>
      <w:r w:rsidRPr="008E16A2">
        <w:rPr>
          <w:rFonts w:eastAsia="Book Antiqua" w:cstheme="minorHAnsi"/>
          <w:sz w:val="24"/>
          <w:szCs w:val="24"/>
        </w:rPr>
        <w:t>Pillars provide an understanding of knowledge and methods associated with the humanities, natural sciences, and social sciences. Through breadth of knowledge, pillars allow students to explore multiple viewpoints, ideas, and disciplines important for any career.</w:t>
      </w:r>
      <w:r w:rsidRPr="008E16A2">
        <w:rPr>
          <w:rFonts w:cstheme="minorHAnsi"/>
          <w:sz w:val="24"/>
          <w:szCs w:val="24"/>
        </w:rPr>
        <w:t xml:space="preserve"> </w:t>
      </w:r>
      <w:r w:rsidRPr="008E16A2">
        <w:rPr>
          <w:rFonts w:eastAsia="Book Antiqua" w:cstheme="minorHAnsi"/>
          <w:sz w:val="24"/>
          <w:szCs w:val="24"/>
        </w:rPr>
        <w:t xml:space="preserve">Courses must be accessible for all learners to explore and develop an understanding of broad disciplines important for a liberal arts education. </w:t>
      </w:r>
    </w:p>
    <w:tbl>
      <w:tblPr>
        <w:tblStyle w:val="TableGridLight"/>
        <w:tblW w:w="5000" w:type="pct"/>
        <w:tblLook w:val="0420" w:firstRow="1" w:lastRow="0" w:firstColumn="0" w:lastColumn="0" w:noHBand="0" w:noVBand="1"/>
      </w:tblPr>
      <w:tblGrid>
        <w:gridCol w:w="3253"/>
        <w:gridCol w:w="1171"/>
        <w:gridCol w:w="4926"/>
      </w:tblGrid>
      <w:tr w:rsidR="007753DB" w:rsidRPr="008E16A2" w14:paraId="28ABF153" w14:textId="77777777" w:rsidTr="00CE722C">
        <w:tc>
          <w:tcPr>
            <w:tcW w:w="1740" w:type="pct"/>
            <w:hideMark/>
          </w:tcPr>
          <w:p w14:paraId="5BA38E49"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GE Component</w:t>
            </w:r>
          </w:p>
        </w:tc>
        <w:tc>
          <w:tcPr>
            <w:tcW w:w="626" w:type="pct"/>
            <w:hideMark/>
          </w:tcPr>
          <w:p w14:paraId="2C967783" w14:textId="77777777" w:rsidR="007753DB" w:rsidRPr="008E16A2" w:rsidRDefault="007753DB" w:rsidP="00CE722C">
            <w:pPr>
              <w:spacing w:before="0"/>
              <w:contextualSpacing/>
              <w:jc w:val="center"/>
              <w:rPr>
                <w:rFonts w:eastAsia="Book Antiqua" w:cstheme="minorHAnsi"/>
                <w:b/>
                <w:bCs/>
                <w:sz w:val="24"/>
                <w:szCs w:val="24"/>
              </w:rPr>
            </w:pPr>
            <w:r w:rsidRPr="008E16A2">
              <w:rPr>
                <w:rFonts w:eastAsia="Book Antiqua" w:cstheme="minorHAnsi"/>
                <w:b/>
                <w:bCs/>
                <w:sz w:val="24"/>
                <w:szCs w:val="24"/>
              </w:rPr>
              <w:t>Min</w:t>
            </w:r>
            <w:r w:rsidRPr="008E16A2">
              <w:rPr>
                <w:rFonts w:cstheme="minorHAnsi"/>
                <w:sz w:val="24"/>
                <w:szCs w:val="24"/>
              </w:rPr>
              <w:t xml:space="preserve">. </w:t>
            </w:r>
            <w:r w:rsidRPr="008E16A2">
              <w:rPr>
                <w:rFonts w:eastAsia="Book Antiqua" w:cstheme="minorHAnsi"/>
                <w:b/>
                <w:bCs/>
                <w:sz w:val="24"/>
                <w:szCs w:val="24"/>
              </w:rPr>
              <w:t>Hrs.</w:t>
            </w:r>
          </w:p>
        </w:tc>
        <w:tc>
          <w:tcPr>
            <w:tcW w:w="2634" w:type="pct"/>
            <w:hideMark/>
          </w:tcPr>
          <w:p w14:paraId="2373B322"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Common Goal(s)</w:t>
            </w:r>
          </w:p>
        </w:tc>
      </w:tr>
      <w:tr w:rsidR="007753DB" w:rsidRPr="008E16A2" w14:paraId="24A520F6" w14:textId="77777777" w:rsidTr="00CE722C">
        <w:tc>
          <w:tcPr>
            <w:tcW w:w="1740" w:type="pct"/>
            <w:hideMark/>
          </w:tcPr>
          <w:p w14:paraId="6755CC0D"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*Humanities: Texts and Contexts</w:t>
            </w:r>
          </w:p>
        </w:tc>
        <w:tc>
          <w:tcPr>
            <w:tcW w:w="626" w:type="pct"/>
            <w:hideMark/>
          </w:tcPr>
          <w:p w14:paraId="6181F2D3"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34" w:type="pct"/>
            <w:hideMark/>
          </w:tcPr>
          <w:p w14:paraId="514D7C44"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Arts and Humanities Knowledge &amp; Methods</w:t>
            </w:r>
          </w:p>
        </w:tc>
      </w:tr>
      <w:tr w:rsidR="007753DB" w:rsidRPr="008E16A2" w14:paraId="2F629378" w14:textId="77777777" w:rsidTr="00CE722C">
        <w:tc>
          <w:tcPr>
            <w:tcW w:w="1740" w:type="pct"/>
            <w:hideMark/>
          </w:tcPr>
          <w:p w14:paraId="6DEE3230"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*Humanities: Arts</w:t>
            </w:r>
          </w:p>
        </w:tc>
        <w:tc>
          <w:tcPr>
            <w:tcW w:w="626" w:type="pct"/>
            <w:hideMark/>
          </w:tcPr>
          <w:p w14:paraId="66085DD0"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34" w:type="pct"/>
            <w:hideMark/>
          </w:tcPr>
          <w:p w14:paraId="6A03D07F"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Arts and Humanities Knowledge &amp; Methods</w:t>
            </w:r>
          </w:p>
        </w:tc>
      </w:tr>
      <w:tr w:rsidR="007753DB" w:rsidRPr="008E16A2" w14:paraId="2AA6FFBE" w14:textId="77777777" w:rsidTr="00CE722C">
        <w:tc>
          <w:tcPr>
            <w:tcW w:w="1740" w:type="pct"/>
            <w:hideMark/>
          </w:tcPr>
          <w:p w14:paraId="73C03BAE"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*Natural Sciences</w:t>
            </w:r>
          </w:p>
        </w:tc>
        <w:tc>
          <w:tcPr>
            <w:tcW w:w="626" w:type="pct"/>
            <w:hideMark/>
          </w:tcPr>
          <w:p w14:paraId="30BE814A"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34" w:type="pct"/>
            <w:hideMark/>
          </w:tcPr>
          <w:p w14:paraId="1772D01F"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Natural Science Knowledge &amp; Methods</w:t>
            </w:r>
          </w:p>
        </w:tc>
      </w:tr>
      <w:tr w:rsidR="007753DB" w:rsidRPr="008E16A2" w14:paraId="3B3EA248" w14:textId="77777777" w:rsidTr="00CE722C">
        <w:tc>
          <w:tcPr>
            <w:tcW w:w="1740" w:type="pct"/>
            <w:hideMark/>
          </w:tcPr>
          <w:p w14:paraId="63ADE4A1"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*Social or Behavioral Sciences</w:t>
            </w:r>
          </w:p>
        </w:tc>
        <w:tc>
          <w:tcPr>
            <w:tcW w:w="626" w:type="pct"/>
            <w:hideMark/>
          </w:tcPr>
          <w:p w14:paraId="2128CEB4"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34" w:type="pct"/>
            <w:hideMark/>
          </w:tcPr>
          <w:p w14:paraId="358E9D8B"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Social or Behavioral Science Knowledge &amp; Methods</w:t>
            </w:r>
          </w:p>
        </w:tc>
      </w:tr>
    </w:tbl>
    <w:p w14:paraId="6CE47441" w14:textId="77777777" w:rsidR="007753DB" w:rsidRPr="008E16A2" w:rsidRDefault="007753DB" w:rsidP="007753DB">
      <w:pPr>
        <w:contextualSpacing/>
        <w:rPr>
          <w:rFonts w:eastAsia="Book Antiqua" w:cstheme="minorHAnsi"/>
          <w:sz w:val="24"/>
          <w:szCs w:val="24"/>
        </w:rPr>
      </w:pPr>
    </w:p>
    <w:p w14:paraId="134CC220" w14:textId="77777777" w:rsidR="007753DB" w:rsidRPr="008E16A2" w:rsidRDefault="007753DB" w:rsidP="007753DB">
      <w:pPr>
        <w:spacing w:after="120"/>
        <w:rPr>
          <w:rFonts w:eastAsia="Book Antiqua" w:cstheme="minorHAnsi"/>
          <w:b/>
          <w:bCs/>
          <w:sz w:val="24"/>
          <w:szCs w:val="24"/>
        </w:rPr>
      </w:pPr>
      <w:r w:rsidRPr="008E16A2">
        <w:rPr>
          <w:rFonts w:eastAsia="Book Antiqua" w:cstheme="minorHAnsi"/>
          <w:b/>
          <w:bCs/>
          <w:sz w:val="24"/>
          <w:szCs w:val="24"/>
        </w:rPr>
        <w:t>Category 3: Arches</w:t>
      </w:r>
      <w:r w:rsidRPr="008E16A2">
        <w:rPr>
          <w:rStyle w:val="EndnoteReference"/>
          <w:rFonts w:eastAsia="Book Antiqua" w:cstheme="minorHAnsi"/>
          <w:b/>
          <w:bCs/>
          <w:sz w:val="24"/>
          <w:szCs w:val="24"/>
        </w:rPr>
        <w:endnoteReference w:id="4"/>
      </w:r>
      <w:r w:rsidRPr="008E16A2">
        <w:rPr>
          <w:rFonts w:eastAsia="Book Antiqua" w:cstheme="minorHAnsi"/>
          <w:b/>
          <w:bCs/>
          <w:sz w:val="24"/>
          <w:szCs w:val="24"/>
        </w:rPr>
        <w:t xml:space="preserve"> </w:t>
      </w:r>
      <w:r w:rsidRPr="008E16A2">
        <w:rPr>
          <w:rFonts w:eastAsia="Book Antiqua" w:cstheme="minorHAnsi"/>
          <w:sz w:val="24"/>
          <w:szCs w:val="24"/>
        </w:rPr>
        <w:t>(minimum = 9 credit hours)</w:t>
      </w:r>
    </w:p>
    <w:p w14:paraId="02BFF74E" w14:textId="77777777" w:rsidR="007753DB" w:rsidRPr="008E16A2" w:rsidRDefault="007753DB" w:rsidP="007753DB">
      <w:pPr>
        <w:shd w:val="clear" w:color="auto" w:fill="F2F2F2" w:themeFill="background1" w:themeFillShade="F2"/>
        <w:spacing w:after="120"/>
        <w:jc w:val="center"/>
        <w:rPr>
          <w:rFonts w:eastAsia="Book Antiqua" w:cstheme="minorHAnsi"/>
          <w:sz w:val="24"/>
          <w:szCs w:val="24"/>
        </w:rPr>
      </w:pPr>
      <w:r w:rsidRPr="008E16A2">
        <w:rPr>
          <w:rFonts w:eastAsia="Book Antiqua" w:cstheme="minorHAnsi"/>
          <w:sz w:val="24"/>
          <w:szCs w:val="24"/>
        </w:rPr>
        <w:t xml:space="preserve">Arches </w:t>
      </w:r>
      <w:r w:rsidRPr="008E16A2">
        <w:rPr>
          <w:rFonts w:eastAsia="Book Antiqua" w:cstheme="minorHAnsi"/>
          <w:i/>
          <w:iCs/>
          <w:sz w:val="24"/>
          <w:szCs w:val="24"/>
        </w:rPr>
        <w:t>span</w:t>
      </w:r>
      <w:r w:rsidRPr="008E16A2">
        <w:rPr>
          <w:rFonts w:eastAsia="Book Antiqua" w:cstheme="minorHAnsi"/>
          <w:sz w:val="24"/>
          <w:szCs w:val="24"/>
        </w:rPr>
        <w:t xml:space="preserve"> disciplinary perspectives.</w:t>
      </w:r>
    </w:p>
    <w:p w14:paraId="197F2F39" w14:textId="77777777" w:rsidR="007753DB" w:rsidRPr="008E16A2" w:rsidRDefault="007753DB" w:rsidP="007753DB">
      <w:pPr>
        <w:spacing w:after="120"/>
        <w:jc w:val="both"/>
        <w:rPr>
          <w:rFonts w:eastAsia="Book Antiqua" w:cstheme="minorHAnsi"/>
          <w:sz w:val="24"/>
          <w:szCs w:val="24"/>
        </w:rPr>
      </w:pPr>
      <w:r w:rsidRPr="008E16A2">
        <w:rPr>
          <w:rFonts w:eastAsia="Book Antiqua" w:cstheme="minorHAnsi"/>
          <w:sz w:val="24"/>
          <w:szCs w:val="24"/>
        </w:rPr>
        <w:t>Arches should enable students</w:t>
      </w:r>
      <w:r w:rsidRPr="008E16A2">
        <w:rPr>
          <w:rStyle w:val="EndnoteReference"/>
          <w:rFonts w:eastAsia="Book Antiqua" w:cstheme="minorHAnsi"/>
          <w:sz w:val="24"/>
          <w:szCs w:val="24"/>
        </w:rPr>
        <w:endnoteReference w:id="5"/>
      </w:r>
      <w:r w:rsidRPr="008E16A2">
        <w:rPr>
          <w:rFonts w:eastAsia="Book Antiqua" w:cstheme="minorHAnsi"/>
          <w:sz w:val="24"/>
          <w:szCs w:val="24"/>
        </w:rPr>
        <w:t xml:space="preserve"> to explore a single topic from different disciplinary perspectives. Arches include nine credit hours (minimum) and are multi-disciplinary. Example topics (subject to faculty development) include Sustainability, Global Connections, and Heath &amp; Wellness. </w:t>
      </w:r>
    </w:p>
    <w:tbl>
      <w:tblPr>
        <w:tblStyle w:val="TableGridLight"/>
        <w:tblW w:w="5000" w:type="pct"/>
        <w:tblLook w:val="0420" w:firstRow="1" w:lastRow="0" w:firstColumn="0" w:lastColumn="0" w:noHBand="0" w:noVBand="1"/>
      </w:tblPr>
      <w:tblGrid>
        <w:gridCol w:w="3253"/>
        <w:gridCol w:w="1171"/>
        <w:gridCol w:w="4926"/>
      </w:tblGrid>
      <w:tr w:rsidR="007753DB" w:rsidRPr="008E16A2" w14:paraId="428B60C1" w14:textId="77777777" w:rsidTr="00CE722C">
        <w:tc>
          <w:tcPr>
            <w:tcW w:w="1740" w:type="pct"/>
            <w:hideMark/>
          </w:tcPr>
          <w:p w14:paraId="3F4366EA"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GE Component</w:t>
            </w:r>
          </w:p>
        </w:tc>
        <w:tc>
          <w:tcPr>
            <w:tcW w:w="626" w:type="pct"/>
            <w:hideMark/>
          </w:tcPr>
          <w:p w14:paraId="17CFFB3F" w14:textId="77777777" w:rsidR="007753DB" w:rsidRPr="008E16A2" w:rsidRDefault="007753DB" w:rsidP="00CE722C">
            <w:pPr>
              <w:spacing w:before="0"/>
              <w:contextualSpacing/>
              <w:jc w:val="center"/>
              <w:rPr>
                <w:rFonts w:eastAsia="Book Antiqua" w:cstheme="minorHAnsi"/>
                <w:b/>
                <w:bCs/>
                <w:sz w:val="24"/>
                <w:szCs w:val="24"/>
              </w:rPr>
            </w:pPr>
            <w:r w:rsidRPr="008E16A2">
              <w:rPr>
                <w:rFonts w:eastAsia="Book Antiqua" w:cstheme="minorHAnsi"/>
                <w:b/>
                <w:bCs/>
                <w:sz w:val="24"/>
                <w:szCs w:val="24"/>
              </w:rPr>
              <w:t>Min</w:t>
            </w:r>
            <w:r w:rsidRPr="008E16A2">
              <w:rPr>
                <w:rFonts w:cstheme="minorHAnsi"/>
                <w:sz w:val="24"/>
                <w:szCs w:val="24"/>
              </w:rPr>
              <w:t xml:space="preserve"> </w:t>
            </w:r>
            <w:r w:rsidRPr="008E16A2">
              <w:rPr>
                <w:rFonts w:eastAsia="Book Antiqua" w:cstheme="minorHAnsi"/>
                <w:b/>
                <w:bCs/>
                <w:sz w:val="24"/>
                <w:szCs w:val="24"/>
              </w:rPr>
              <w:t>Hrs.</w:t>
            </w:r>
          </w:p>
        </w:tc>
        <w:tc>
          <w:tcPr>
            <w:tcW w:w="2634" w:type="pct"/>
          </w:tcPr>
          <w:p w14:paraId="20E66A5E"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Common Goal(s)</w:t>
            </w:r>
          </w:p>
        </w:tc>
      </w:tr>
      <w:tr w:rsidR="007753DB" w:rsidRPr="008E16A2" w14:paraId="79897594" w14:textId="77777777" w:rsidTr="00CE722C">
        <w:tc>
          <w:tcPr>
            <w:tcW w:w="1740" w:type="pct"/>
          </w:tcPr>
          <w:p w14:paraId="780BA653"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sz w:val="24"/>
                <w:szCs w:val="24"/>
              </w:rPr>
              <w:t>*Constructed World</w:t>
            </w:r>
          </w:p>
        </w:tc>
        <w:tc>
          <w:tcPr>
            <w:tcW w:w="626" w:type="pct"/>
          </w:tcPr>
          <w:p w14:paraId="71F8B2AA"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34" w:type="pct"/>
            <w:vMerge w:val="restart"/>
          </w:tcPr>
          <w:p w14:paraId="6CEB0EFA"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Critical Thinking and Teamwork</w:t>
            </w:r>
          </w:p>
          <w:p w14:paraId="10AA8A54" w14:textId="77777777" w:rsidR="007753DB" w:rsidRPr="008E16A2" w:rsidRDefault="007753DB" w:rsidP="007753DB">
            <w:pPr>
              <w:pStyle w:val="ListParagraph"/>
              <w:numPr>
                <w:ilvl w:val="0"/>
                <w:numId w:val="1"/>
              </w:numPr>
              <w:spacing w:before="0" w:after="0"/>
              <w:rPr>
                <w:rFonts w:eastAsia="Book Antiqua" w:cstheme="minorHAnsi"/>
                <w:sz w:val="24"/>
                <w:szCs w:val="24"/>
              </w:rPr>
            </w:pPr>
            <w:r w:rsidRPr="008E16A2">
              <w:rPr>
                <w:rFonts w:eastAsia="Book Antiqua" w:cstheme="minorHAnsi"/>
                <w:sz w:val="24"/>
                <w:szCs w:val="24"/>
              </w:rPr>
              <w:t>as a set of courses or individual courses</w:t>
            </w:r>
            <w:r w:rsidRPr="008E16A2">
              <w:rPr>
                <w:rStyle w:val="EndnoteReference"/>
                <w:rFonts w:eastAsia="Book Antiqua" w:cstheme="minorHAnsi"/>
                <w:sz w:val="24"/>
                <w:szCs w:val="24"/>
              </w:rPr>
              <w:endnoteReference w:id="6"/>
            </w:r>
          </w:p>
        </w:tc>
      </w:tr>
      <w:tr w:rsidR="007753DB" w:rsidRPr="008E16A2" w14:paraId="1FB12E14" w14:textId="77777777" w:rsidTr="00CE722C">
        <w:tc>
          <w:tcPr>
            <w:tcW w:w="1740" w:type="pct"/>
            <w:hideMark/>
          </w:tcPr>
          <w:p w14:paraId="2970B065"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*Natural World</w:t>
            </w:r>
          </w:p>
        </w:tc>
        <w:tc>
          <w:tcPr>
            <w:tcW w:w="626" w:type="pct"/>
            <w:hideMark/>
          </w:tcPr>
          <w:p w14:paraId="632BCF75"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34" w:type="pct"/>
            <w:vMerge/>
          </w:tcPr>
          <w:p w14:paraId="22C2A142" w14:textId="77777777" w:rsidR="007753DB" w:rsidRPr="008E16A2" w:rsidRDefault="007753DB" w:rsidP="00CE722C">
            <w:pPr>
              <w:spacing w:before="0"/>
              <w:contextualSpacing/>
              <w:rPr>
                <w:rFonts w:eastAsia="Book Antiqua" w:cstheme="minorHAnsi"/>
                <w:sz w:val="24"/>
                <w:szCs w:val="24"/>
              </w:rPr>
            </w:pPr>
          </w:p>
        </w:tc>
      </w:tr>
      <w:tr w:rsidR="007753DB" w:rsidRPr="008E16A2" w14:paraId="42834578" w14:textId="77777777" w:rsidTr="00CE722C">
        <w:tc>
          <w:tcPr>
            <w:tcW w:w="1740" w:type="pct"/>
            <w:hideMark/>
          </w:tcPr>
          <w:p w14:paraId="6B418B95"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*Connected World</w:t>
            </w:r>
          </w:p>
        </w:tc>
        <w:tc>
          <w:tcPr>
            <w:tcW w:w="626" w:type="pct"/>
            <w:hideMark/>
          </w:tcPr>
          <w:p w14:paraId="4C94B68F"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3</w:t>
            </w:r>
          </w:p>
        </w:tc>
        <w:tc>
          <w:tcPr>
            <w:tcW w:w="2634" w:type="pct"/>
            <w:vMerge/>
          </w:tcPr>
          <w:p w14:paraId="002C674B" w14:textId="77777777" w:rsidR="007753DB" w:rsidRPr="008E16A2" w:rsidRDefault="007753DB" w:rsidP="00CE722C">
            <w:pPr>
              <w:spacing w:before="0"/>
              <w:contextualSpacing/>
              <w:rPr>
                <w:rFonts w:eastAsia="Book Antiqua" w:cstheme="minorHAnsi"/>
                <w:sz w:val="24"/>
                <w:szCs w:val="24"/>
              </w:rPr>
            </w:pPr>
          </w:p>
        </w:tc>
      </w:tr>
    </w:tbl>
    <w:p w14:paraId="410CE04A" w14:textId="77777777" w:rsidR="007753DB" w:rsidRPr="008E16A2" w:rsidRDefault="007753DB" w:rsidP="007753DB">
      <w:pPr>
        <w:contextualSpacing/>
        <w:rPr>
          <w:rFonts w:eastAsia="Book Antiqua" w:cstheme="minorHAnsi"/>
          <w:b/>
          <w:bCs/>
          <w:sz w:val="24"/>
          <w:szCs w:val="24"/>
        </w:rPr>
      </w:pPr>
    </w:p>
    <w:p w14:paraId="26055AFD" w14:textId="77777777" w:rsidR="007753DB" w:rsidRDefault="007753DB" w:rsidP="007753DB">
      <w:pPr>
        <w:spacing w:after="120"/>
        <w:rPr>
          <w:rFonts w:eastAsia="Book Antiqua" w:cstheme="minorHAnsi"/>
          <w:b/>
          <w:bCs/>
          <w:sz w:val="24"/>
          <w:szCs w:val="24"/>
        </w:rPr>
      </w:pPr>
    </w:p>
    <w:p w14:paraId="3680692A" w14:textId="77777777" w:rsidR="007753DB" w:rsidRPr="008E16A2" w:rsidRDefault="007753DB" w:rsidP="007753DB">
      <w:pPr>
        <w:spacing w:after="120"/>
        <w:rPr>
          <w:rFonts w:eastAsia="Book Antiqua" w:cstheme="minorHAnsi"/>
          <w:b/>
          <w:bCs/>
          <w:sz w:val="24"/>
          <w:szCs w:val="24"/>
        </w:rPr>
      </w:pPr>
      <w:r w:rsidRPr="008E16A2">
        <w:rPr>
          <w:rFonts w:eastAsia="Book Antiqua" w:cstheme="minorHAnsi"/>
          <w:b/>
          <w:bCs/>
          <w:sz w:val="24"/>
          <w:szCs w:val="24"/>
        </w:rPr>
        <w:lastRenderedPageBreak/>
        <w:t>Category 4: Bridges</w:t>
      </w:r>
      <w:r w:rsidRPr="008E16A2">
        <w:rPr>
          <w:rStyle w:val="EndnoteReference"/>
          <w:rFonts w:eastAsia="Book Antiqua" w:cstheme="minorHAnsi"/>
          <w:b/>
          <w:bCs/>
          <w:sz w:val="24"/>
          <w:szCs w:val="24"/>
        </w:rPr>
        <w:endnoteReference w:id="7"/>
      </w:r>
      <w:r w:rsidRPr="008E16A2">
        <w:rPr>
          <w:rFonts w:eastAsia="Book Antiqua" w:cstheme="minorHAnsi"/>
          <w:b/>
          <w:bCs/>
          <w:sz w:val="24"/>
          <w:szCs w:val="24"/>
        </w:rPr>
        <w:t xml:space="preserve"> </w:t>
      </w:r>
      <w:r w:rsidRPr="008E16A2">
        <w:rPr>
          <w:rFonts w:eastAsia="Book Antiqua" w:cstheme="minorHAnsi"/>
          <w:sz w:val="24"/>
          <w:szCs w:val="24"/>
        </w:rPr>
        <w:t>(minimum = 4 credit hours)</w:t>
      </w:r>
    </w:p>
    <w:p w14:paraId="774F2E25" w14:textId="77777777" w:rsidR="007753DB" w:rsidRPr="008E16A2" w:rsidRDefault="007753DB" w:rsidP="007753DB">
      <w:pPr>
        <w:shd w:val="clear" w:color="auto" w:fill="F2F2F2" w:themeFill="background1" w:themeFillShade="F2"/>
        <w:spacing w:after="120"/>
        <w:jc w:val="center"/>
        <w:rPr>
          <w:rFonts w:eastAsia="Book Antiqua" w:cstheme="minorHAnsi"/>
          <w:sz w:val="24"/>
          <w:szCs w:val="24"/>
        </w:rPr>
      </w:pPr>
      <w:r w:rsidRPr="008E16A2">
        <w:rPr>
          <w:rFonts w:eastAsia="Book Antiqua" w:cstheme="minorHAnsi"/>
          <w:sz w:val="24"/>
          <w:szCs w:val="24"/>
        </w:rPr>
        <w:t xml:space="preserve">Bridges </w:t>
      </w:r>
      <w:r w:rsidRPr="008E16A2">
        <w:rPr>
          <w:rFonts w:eastAsia="Book Antiqua" w:cstheme="minorHAnsi"/>
          <w:i/>
          <w:iCs/>
          <w:sz w:val="24"/>
          <w:szCs w:val="24"/>
        </w:rPr>
        <w:t>connect</w:t>
      </w:r>
      <w:r w:rsidRPr="008E16A2">
        <w:rPr>
          <w:rFonts w:eastAsia="Book Antiqua" w:cstheme="minorHAnsi"/>
          <w:sz w:val="24"/>
          <w:szCs w:val="24"/>
        </w:rPr>
        <w:t xml:space="preserve"> disciplines to common goals.</w:t>
      </w:r>
    </w:p>
    <w:p w14:paraId="33AA42FE" w14:textId="77777777" w:rsidR="007753DB" w:rsidRPr="008E16A2" w:rsidRDefault="007753DB" w:rsidP="007753DB">
      <w:pPr>
        <w:spacing w:after="120"/>
        <w:jc w:val="both"/>
        <w:rPr>
          <w:rFonts w:eastAsia="Book Antiqua" w:cstheme="minorHAnsi"/>
          <w:sz w:val="24"/>
          <w:szCs w:val="24"/>
        </w:rPr>
      </w:pPr>
      <w:r w:rsidRPr="008E16A2">
        <w:rPr>
          <w:rFonts w:eastAsia="Book Antiqua" w:cstheme="minorHAnsi"/>
          <w:sz w:val="24"/>
          <w:szCs w:val="24"/>
        </w:rPr>
        <w:t>Bridges should focus explicitly on specific common goal learning outcomes. Course options should encourage students to build competencies through experiences in a liberal arts discipline and/or their major or minor field.</w:t>
      </w:r>
    </w:p>
    <w:tbl>
      <w:tblPr>
        <w:tblStyle w:val="TableGridLight"/>
        <w:tblW w:w="5000" w:type="pct"/>
        <w:tblLook w:val="0420" w:firstRow="1" w:lastRow="0" w:firstColumn="0" w:lastColumn="0" w:noHBand="0" w:noVBand="1"/>
      </w:tblPr>
      <w:tblGrid>
        <w:gridCol w:w="3253"/>
        <w:gridCol w:w="1171"/>
        <w:gridCol w:w="4926"/>
      </w:tblGrid>
      <w:tr w:rsidR="007753DB" w:rsidRPr="008E16A2" w14:paraId="4878BE40" w14:textId="77777777" w:rsidTr="00CE722C">
        <w:tc>
          <w:tcPr>
            <w:tcW w:w="1740" w:type="pct"/>
            <w:hideMark/>
          </w:tcPr>
          <w:p w14:paraId="25D8E65D"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GE Component</w:t>
            </w:r>
          </w:p>
        </w:tc>
        <w:tc>
          <w:tcPr>
            <w:tcW w:w="626" w:type="pct"/>
            <w:hideMark/>
          </w:tcPr>
          <w:p w14:paraId="0D0A3A55" w14:textId="77777777" w:rsidR="007753DB" w:rsidRPr="008E16A2" w:rsidRDefault="007753DB" w:rsidP="00CE722C">
            <w:pPr>
              <w:spacing w:before="0"/>
              <w:contextualSpacing/>
              <w:jc w:val="center"/>
              <w:rPr>
                <w:rFonts w:eastAsia="Book Antiqua" w:cstheme="minorHAnsi"/>
                <w:b/>
                <w:bCs/>
                <w:sz w:val="24"/>
                <w:szCs w:val="24"/>
              </w:rPr>
            </w:pPr>
            <w:r w:rsidRPr="008E16A2">
              <w:rPr>
                <w:rFonts w:eastAsia="Book Antiqua" w:cstheme="minorHAnsi"/>
                <w:b/>
                <w:bCs/>
                <w:sz w:val="24"/>
                <w:szCs w:val="24"/>
              </w:rPr>
              <w:t>Min</w:t>
            </w:r>
            <w:r w:rsidRPr="008E16A2">
              <w:rPr>
                <w:rFonts w:cstheme="minorHAnsi"/>
                <w:sz w:val="24"/>
                <w:szCs w:val="24"/>
              </w:rPr>
              <w:t xml:space="preserve"> </w:t>
            </w:r>
            <w:r w:rsidRPr="008E16A2">
              <w:rPr>
                <w:rFonts w:eastAsia="Book Antiqua" w:cstheme="minorHAnsi"/>
                <w:b/>
                <w:bCs/>
                <w:sz w:val="24"/>
                <w:szCs w:val="24"/>
              </w:rPr>
              <w:t>Hrs.</w:t>
            </w:r>
          </w:p>
        </w:tc>
        <w:tc>
          <w:tcPr>
            <w:tcW w:w="2634" w:type="pct"/>
            <w:hideMark/>
          </w:tcPr>
          <w:p w14:paraId="5C6C795D"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Common Goal(s)</w:t>
            </w:r>
          </w:p>
        </w:tc>
      </w:tr>
      <w:tr w:rsidR="007753DB" w:rsidRPr="008E16A2" w14:paraId="62761A7A" w14:textId="77777777" w:rsidTr="00CE722C">
        <w:tc>
          <w:tcPr>
            <w:tcW w:w="1740" w:type="pct"/>
            <w:hideMark/>
          </w:tcPr>
          <w:p w14:paraId="5B277271"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Speaking &amp; Listening</w:t>
            </w:r>
          </w:p>
        </w:tc>
        <w:tc>
          <w:tcPr>
            <w:tcW w:w="626" w:type="pct"/>
            <w:hideMark/>
          </w:tcPr>
          <w:p w14:paraId="135E470C"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1</w:t>
            </w:r>
          </w:p>
        </w:tc>
        <w:tc>
          <w:tcPr>
            <w:tcW w:w="2634" w:type="pct"/>
            <w:hideMark/>
          </w:tcPr>
          <w:p w14:paraId="22D863B7"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Oral Communication</w:t>
            </w:r>
          </w:p>
        </w:tc>
      </w:tr>
      <w:tr w:rsidR="007753DB" w:rsidRPr="008E16A2" w14:paraId="0EA12A23" w14:textId="77777777" w:rsidTr="00CE722C">
        <w:tc>
          <w:tcPr>
            <w:tcW w:w="1740" w:type="pct"/>
            <w:hideMark/>
          </w:tcPr>
          <w:p w14:paraId="67E2A098"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Ethics &amp; Reasoning</w:t>
            </w:r>
          </w:p>
        </w:tc>
        <w:tc>
          <w:tcPr>
            <w:tcW w:w="626" w:type="pct"/>
            <w:hideMark/>
          </w:tcPr>
          <w:p w14:paraId="7C37E518"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1</w:t>
            </w:r>
          </w:p>
        </w:tc>
        <w:tc>
          <w:tcPr>
            <w:tcW w:w="2634" w:type="pct"/>
            <w:hideMark/>
          </w:tcPr>
          <w:p w14:paraId="075CCFEB"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Ethical Reasoning</w:t>
            </w:r>
          </w:p>
        </w:tc>
      </w:tr>
      <w:tr w:rsidR="007753DB" w:rsidRPr="008E16A2" w14:paraId="2389F460" w14:textId="77777777" w:rsidTr="00CE722C">
        <w:tc>
          <w:tcPr>
            <w:tcW w:w="1740" w:type="pct"/>
            <w:hideMark/>
          </w:tcPr>
          <w:p w14:paraId="57DA4A4B"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Diversity &amp; Practice</w:t>
            </w:r>
          </w:p>
        </w:tc>
        <w:tc>
          <w:tcPr>
            <w:tcW w:w="626" w:type="pct"/>
            <w:hideMark/>
          </w:tcPr>
          <w:p w14:paraId="6C610752"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1</w:t>
            </w:r>
          </w:p>
        </w:tc>
        <w:tc>
          <w:tcPr>
            <w:tcW w:w="2634" w:type="pct"/>
            <w:hideMark/>
          </w:tcPr>
          <w:p w14:paraId="6162BA17"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Intercultural Knowledge and Competence</w:t>
            </w:r>
          </w:p>
        </w:tc>
      </w:tr>
      <w:tr w:rsidR="007753DB" w:rsidRPr="008E16A2" w14:paraId="5584B89C" w14:textId="77777777" w:rsidTr="00CE722C">
        <w:tc>
          <w:tcPr>
            <w:tcW w:w="1740" w:type="pct"/>
            <w:hideMark/>
          </w:tcPr>
          <w:p w14:paraId="7E70CF8D"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Learning &amp; Doing</w:t>
            </w:r>
          </w:p>
        </w:tc>
        <w:tc>
          <w:tcPr>
            <w:tcW w:w="626" w:type="pct"/>
            <w:hideMark/>
          </w:tcPr>
          <w:p w14:paraId="48D75BC5"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1</w:t>
            </w:r>
          </w:p>
        </w:tc>
        <w:tc>
          <w:tcPr>
            <w:tcW w:w="2634" w:type="pct"/>
            <w:hideMark/>
          </w:tcPr>
          <w:p w14:paraId="08E85EAD"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Integrative Learning</w:t>
            </w:r>
          </w:p>
        </w:tc>
      </w:tr>
    </w:tbl>
    <w:p w14:paraId="5FAB277D" w14:textId="77777777" w:rsidR="007753DB" w:rsidRPr="008E16A2" w:rsidRDefault="007753DB" w:rsidP="007753DB">
      <w:pPr>
        <w:contextualSpacing/>
        <w:rPr>
          <w:rFonts w:eastAsia="Book Antiqua" w:cstheme="minorHAnsi"/>
          <w:b/>
          <w:bCs/>
          <w:sz w:val="24"/>
          <w:szCs w:val="24"/>
        </w:rPr>
      </w:pPr>
    </w:p>
    <w:p w14:paraId="4416D90D" w14:textId="77777777" w:rsidR="007753DB" w:rsidRPr="008E16A2" w:rsidRDefault="007753DB" w:rsidP="007753DB">
      <w:pPr>
        <w:spacing w:after="120"/>
        <w:rPr>
          <w:rFonts w:eastAsia="Book Antiqua" w:cstheme="minorHAnsi"/>
          <w:b/>
          <w:bCs/>
          <w:sz w:val="24"/>
          <w:szCs w:val="24"/>
        </w:rPr>
      </w:pPr>
      <w:r w:rsidRPr="008E16A2">
        <w:rPr>
          <w:rFonts w:eastAsia="Book Antiqua" w:cstheme="minorHAnsi"/>
          <w:b/>
          <w:bCs/>
          <w:sz w:val="24"/>
          <w:szCs w:val="24"/>
        </w:rPr>
        <w:t xml:space="preserve">Category 5: Capstones </w:t>
      </w:r>
      <w:r w:rsidRPr="008E16A2">
        <w:rPr>
          <w:rFonts w:eastAsia="Book Antiqua" w:cstheme="minorHAnsi"/>
          <w:sz w:val="24"/>
          <w:szCs w:val="24"/>
        </w:rPr>
        <w:t>(minimum = 2 credit hours)</w:t>
      </w:r>
    </w:p>
    <w:p w14:paraId="3B919E1E" w14:textId="77777777" w:rsidR="007753DB" w:rsidRPr="008E16A2" w:rsidRDefault="007753DB" w:rsidP="007753DB">
      <w:pPr>
        <w:shd w:val="clear" w:color="auto" w:fill="F2F2F2" w:themeFill="background1" w:themeFillShade="F2"/>
        <w:spacing w:after="120"/>
        <w:jc w:val="center"/>
        <w:rPr>
          <w:rFonts w:eastAsia="Book Antiqua" w:cstheme="minorHAnsi"/>
          <w:sz w:val="24"/>
          <w:szCs w:val="24"/>
        </w:rPr>
      </w:pPr>
      <w:r w:rsidRPr="008E16A2">
        <w:rPr>
          <w:rFonts w:eastAsia="Book Antiqua" w:cstheme="minorHAnsi"/>
          <w:sz w:val="24"/>
          <w:szCs w:val="24"/>
        </w:rPr>
        <w:t xml:space="preserve">Capstones </w:t>
      </w:r>
      <w:r w:rsidRPr="008E16A2">
        <w:rPr>
          <w:rFonts w:eastAsia="Book Antiqua" w:cstheme="minorHAnsi"/>
          <w:i/>
          <w:iCs/>
          <w:sz w:val="24"/>
          <w:szCs w:val="24"/>
        </w:rPr>
        <w:t>complete</w:t>
      </w:r>
      <w:r w:rsidRPr="008E16A2">
        <w:rPr>
          <w:rFonts w:eastAsia="Book Antiqua" w:cstheme="minorHAnsi"/>
          <w:sz w:val="24"/>
          <w:szCs w:val="24"/>
        </w:rPr>
        <w:t xml:space="preserve"> general education.</w:t>
      </w:r>
    </w:p>
    <w:p w14:paraId="5C6BA8EF" w14:textId="77777777" w:rsidR="007753DB" w:rsidRPr="008E16A2" w:rsidRDefault="007753DB" w:rsidP="007753DB">
      <w:pPr>
        <w:spacing w:after="120"/>
        <w:jc w:val="both"/>
        <w:rPr>
          <w:rFonts w:eastAsia="Book Antiqua" w:cstheme="minorHAnsi"/>
          <w:sz w:val="24"/>
          <w:szCs w:val="24"/>
        </w:rPr>
      </w:pPr>
      <w:r w:rsidRPr="008E16A2">
        <w:rPr>
          <w:rFonts w:eastAsia="Book Antiqua" w:cstheme="minorHAnsi"/>
          <w:sz w:val="24"/>
          <w:szCs w:val="24"/>
        </w:rPr>
        <w:t>Capstones should be a capstone course or culminating experience that requires students to integrate and apply what they have learned. Typically offered at the end of a student’s educational journey, capstones may be specific to the major, an arch requirement, or combined with a bridges course.</w:t>
      </w:r>
    </w:p>
    <w:tbl>
      <w:tblPr>
        <w:tblStyle w:val="TableGridLight"/>
        <w:tblW w:w="10075" w:type="dxa"/>
        <w:tblLook w:val="0420" w:firstRow="1" w:lastRow="0" w:firstColumn="0" w:lastColumn="0" w:noHBand="0" w:noVBand="1"/>
      </w:tblPr>
      <w:tblGrid>
        <w:gridCol w:w="3505"/>
        <w:gridCol w:w="1260"/>
        <w:gridCol w:w="5310"/>
      </w:tblGrid>
      <w:tr w:rsidR="007753DB" w:rsidRPr="008E16A2" w14:paraId="5354419F" w14:textId="77777777" w:rsidTr="00CE722C">
        <w:tc>
          <w:tcPr>
            <w:tcW w:w="3505" w:type="dxa"/>
            <w:hideMark/>
          </w:tcPr>
          <w:p w14:paraId="293CAFF8"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GE Component</w:t>
            </w:r>
          </w:p>
        </w:tc>
        <w:tc>
          <w:tcPr>
            <w:tcW w:w="1260" w:type="dxa"/>
            <w:hideMark/>
          </w:tcPr>
          <w:p w14:paraId="18377A17" w14:textId="77777777" w:rsidR="007753DB" w:rsidRPr="008E16A2" w:rsidRDefault="007753DB" w:rsidP="00CE722C">
            <w:pPr>
              <w:spacing w:before="0"/>
              <w:contextualSpacing/>
              <w:jc w:val="center"/>
              <w:rPr>
                <w:rFonts w:eastAsia="Book Antiqua" w:cstheme="minorHAnsi"/>
                <w:b/>
                <w:bCs/>
                <w:sz w:val="24"/>
                <w:szCs w:val="24"/>
              </w:rPr>
            </w:pPr>
            <w:r w:rsidRPr="008E16A2">
              <w:rPr>
                <w:rFonts w:eastAsia="Book Antiqua" w:cstheme="minorHAnsi"/>
                <w:b/>
                <w:bCs/>
                <w:sz w:val="24"/>
                <w:szCs w:val="24"/>
              </w:rPr>
              <w:t>Min</w:t>
            </w:r>
            <w:r w:rsidRPr="008E16A2">
              <w:rPr>
                <w:rFonts w:cstheme="minorHAnsi"/>
                <w:sz w:val="24"/>
                <w:szCs w:val="24"/>
              </w:rPr>
              <w:t xml:space="preserve"> </w:t>
            </w:r>
            <w:r w:rsidRPr="008E16A2">
              <w:rPr>
                <w:rFonts w:eastAsia="Book Antiqua" w:cstheme="minorHAnsi"/>
                <w:b/>
                <w:bCs/>
                <w:sz w:val="24"/>
                <w:szCs w:val="24"/>
              </w:rPr>
              <w:t>Hrs.</w:t>
            </w:r>
          </w:p>
        </w:tc>
        <w:tc>
          <w:tcPr>
            <w:tcW w:w="5310" w:type="dxa"/>
            <w:hideMark/>
          </w:tcPr>
          <w:p w14:paraId="2353724A" w14:textId="77777777" w:rsidR="007753DB" w:rsidRPr="008E16A2" w:rsidRDefault="007753DB" w:rsidP="00CE722C">
            <w:pPr>
              <w:spacing w:before="0"/>
              <w:contextualSpacing/>
              <w:rPr>
                <w:rFonts w:eastAsia="Book Antiqua" w:cstheme="minorHAnsi"/>
                <w:b/>
                <w:bCs/>
                <w:sz w:val="24"/>
                <w:szCs w:val="24"/>
              </w:rPr>
            </w:pPr>
            <w:r w:rsidRPr="008E16A2">
              <w:rPr>
                <w:rFonts w:eastAsia="Book Antiqua" w:cstheme="minorHAnsi"/>
                <w:b/>
                <w:bCs/>
                <w:sz w:val="24"/>
                <w:szCs w:val="24"/>
              </w:rPr>
              <w:t>Common Goal(s)</w:t>
            </w:r>
          </w:p>
        </w:tc>
      </w:tr>
      <w:tr w:rsidR="007753DB" w:rsidRPr="008E16A2" w14:paraId="5A00409E" w14:textId="77777777" w:rsidTr="00CE722C">
        <w:tc>
          <w:tcPr>
            <w:tcW w:w="3505" w:type="dxa"/>
            <w:hideMark/>
          </w:tcPr>
          <w:p w14:paraId="62664834" w14:textId="412D9FD4"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Capstone or Culminating Experience</w:t>
            </w:r>
          </w:p>
        </w:tc>
        <w:tc>
          <w:tcPr>
            <w:tcW w:w="1260" w:type="dxa"/>
            <w:hideMark/>
          </w:tcPr>
          <w:p w14:paraId="08ECCBC2" w14:textId="77777777" w:rsidR="007753DB" w:rsidRPr="008E16A2" w:rsidRDefault="007753DB" w:rsidP="00CE722C">
            <w:pPr>
              <w:spacing w:before="0"/>
              <w:contextualSpacing/>
              <w:jc w:val="center"/>
              <w:rPr>
                <w:rFonts w:eastAsia="Book Antiqua" w:cstheme="minorHAnsi"/>
                <w:sz w:val="24"/>
                <w:szCs w:val="24"/>
              </w:rPr>
            </w:pPr>
            <w:r w:rsidRPr="008E16A2">
              <w:rPr>
                <w:rFonts w:eastAsia="Book Antiqua" w:cstheme="minorHAnsi"/>
                <w:sz w:val="24"/>
                <w:szCs w:val="24"/>
              </w:rPr>
              <w:t>2</w:t>
            </w:r>
          </w:p>
        </w:tc>
        <w:tc>
          <w:tcPr>
            <w:tcW w:w="5310" w:type="dxa"/>
            <w:hideMark/>
          </w:tcPr>
          <w:p w14:paraId="7F519548"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Critical Thinking</w:t>
            </w:r>
          </w:p>
          <w:p w14:paraId="77D8FA1E" w14:textId="77777777" w:rsidR="007753DB" w:rsidRPr="008E16A2" w:rsidRDefault="007753DB" w:rsidP="00CE722C">
            <w:pPr>
              <w:spacing w:before="0"/>
              <w:contextualSpacing/>
              <w:rPr>
                <w:rFonts w:eastAsia="Book Antiqua" w:cstheme="minorHAnsi"/>
                <w:sz w:val="24"/>
                <w:szCs w:val="24"/>
              </w:rPr>
            </w:pPr>
            <w:r w:rsidRPr="008E16A2">
              <w:rPr>
                <w:rFonts w:eastAsia="Book Antiqua" w:cstheme="minorHAnsi"/>
                <w:sz w:val="24"/>
                <w:szCs w:val="24"/>
              </w:rPr>
              <w:t>Integrative Learning</w:t>
            </w:r>
          </w:p>
        </w:tc>
      </w:tr>
    </w:tbl>
    <w:p w14:paraId="56BBC0A5" w14:textId="77777777" w:rsidR="007753DB" w:rsidRPr="00BB1756" w:rsidRDefault="007753DB" w:rsidP="007753DB">
      <w:pPr>
        <w:contextualSpacing/>
        <w:rPr>
          <w:rFonts w:ascii="Book Antiqua" w:eastAsia="Book Antiqua" w:hAnsi="Book Antiqua" w:cs="Times New Roman"/>
          <w:sz w:val="20"/>
          <w:szCs w:val="20"/>
        </w:rPr>
      </w:pPr>
    </w:p>
    <w:p w14:paraId="7BDA4C36" w14:textId="77777777" w:rsidR="007753DB" w:rsidRDefault="007753DB" w:rsidP="007753DB">
      <w:pPr>
        <w:rPr>
          <w:sz w:val="24"/>
          <w:szCs w:val="24"/>
        </w:rPr>
      </w:pPr>
    </w:p>
    <w:p w14:paraId="062C9142" w14:textId="559B2AFE" w:rsidR="007753DB" w:rsidRPr="00123F58" w:rsidRDefault="007753DB" w:rsidP="00A30F65">
      <w:pPr>
        <w:rPr>
          <w:b/>
          <w:bCs/>
        </w:rPr>
      </w:pPr>
      <w:r w:rsidRPr="00BA46EE">
        <w:rPr>
          <w:b/>
          <w:bCs/>
        </w:rPr>
        <w:t>NOTES</w:t>
      </w:r>
    </w:p>
    <w:sectPr w:rsidR="007753DB" w:rsidRPr="00123F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8B83" w14:textId="77777777" w:rsidR="00800780" w:rsidRDefault="00800780" w:rsidP="007753DB">
      <w:r>
        <w:separator/>
      </w:r>
    </w:p>
  </w:endnote>
  <w:endnote w:type="continuationSeparator" w:id="0">
    <w:p w14:paraId="3C959085" w14:textId="77777777" w:rsidR="00800780" w:rsidRDefault="00800780" w:rsidP="007753DB">
      <w:r>
        <w:continuationSeparator/>
      </w:r>
    </w:p>
  </w:endnote>
  <w:endnote w:id="1">
    <w:p w14:paraId="0319AA1B" w14:textId="77777777" w:rsidR="007753DB" w:rsidRPr="00FF4C8D" w:rsidRDefault="007753DB" w:rsidP="007753DB">
      <w:pPr>
        <w:pStyle w:val="EndnoteText"/>
        <w:spacing w:after="120"/>
      </w:pPr>
      <w:r w:rsidRPr="00FF4C8D">
        <w:rPr>
          <w:rStyle w:val="EndnoteReference"/>
        </w:rPr>
        <w:endnoteRef/>
      </w:r>
      <w:r w:rsidRPr="00FF4C8D">
        <w:t xml:space="preserve"> Course option fulfilling the Advanced Writing requirement may be at any level and may be specific to major requirements. At least one option must be OTM-approved as Second Writing.</w:t>
      </w:r>
    </w:p>
  </w:endnote>
  <w:endnote w:id="2">
    <w:p w14:paraId="0A9F8C14" w14:textId="77777777" w:rsidR="007753DB" w:rsidRDefault="007753DB" w:rsidP="007753DB">
      <w:pPr>
        <w:pStyle w:val="EndnoteText"/>
        <w:spacing w:after="120"/>
      </w:pPr>
      <w:r w:rsidRPr="00FF4C8D">
        <w:rPr>
          <w:rStyle w:val="EndnoteReference"/>
        </w:rPr>
        <w:endnoteRef/>
      </w:r>
      <w:r w:rsidRPr="00FF4C8D">
        <w:t xml:space="preserve"> Course option fulfilling the Intercultural Explorations requirement must be at the 1000 or 2000 level. At least one option must be OTM-approv</w:t>
      </w:r>
      <w:r>
        <w:t>ed</w:t>
      </w:r>
      <w:r w:rsidRPr="00FF4C8D">
        <w:t xml:space="preserve"> for any of the five state-defined areas of distribution. Courses fulfilling the Intercultural Explorations requirement may also fulfill (“double-count”) as a Pillar or Arches requirement. </w:t>
      </w:r>
    </w:p>
  </w:endnote>
  <w:endnote w:id="3">
    <w:p w14:paraId="25CD8C93" w14:textId="77777777" w:rsidR="007753DB" w:rsidRDefault="007753DB" w:rsidP="007753DB">
      <w:pPr>
        <w:pStyle w:val="EndnoteText"/>
        <w:spacing w:after="120"/>
      </w:pPr>
      <w:r>
        <w:rPr>
          <w:rStyle w:val="EndnoteReference"/>
        </w:rPr>
        <w:endnoteRef/>
      </w:r>
      <w:r>
        <w:t xml:space="preserve"> Course options fulfilling Pillar requirements must be OTM-approved for the corresponding OTM area of distribution.</w:t>
      </w:r>
    </w:p>
  </w:endnote>
  <w:endnote w:id="4">
    <w:p w14:paraId="59969B70" w14:textId="77777777" w:rsidR="007753DB" w:rsidRDefault="007753DB" w:rsidP="007753DB">
      <w:pPr>
        <w:pStyle w:val="EndnoteText"/>
        <w:spacing w:after="120"/>
      </w:pPr>
      <w:r>
        <w:rPr>
          <w:rStyle w:val="EndnoteReference"/>
        </w:rPr>
        <w:endnoteRef/>
      </w:r>
      <w:r>
        <w:t xml:space="preserve"> Course option fulfilling Arch requirements must be distinct from course options fulfilling Pillar requirements. Double-counting courses as fulfilling both Pillar and Arch requirements is not permitted. </w:t>
      </w:r>
    </w:p>
  </w:endnote>
  <w:endnote w:id="5">
    <w:p w14:paraId="01D6038D" w14:textId="77777777" w:rsidR="007753DB" w:rsidRDefault="007753DB" w:rsidP="007753DB">
      <w:pPr>
        <w:pStyle w:val="EndnoteText"/>
        <w:spacing w:after="120"/>
      </w:pPr>
      <w:r>
        <w:rPr>
          <w:rStyle w:val="EndnoteReference"/>
        </w:rPr>
        <w:endnoteRef/>
      </w:r>
      <w:r>
        <w:t xml:space="preserve"> </w:t>
      </w:r>
      <w:r w:rsidRPr="00E56A88">
        <w:t xml:space="preserve">Most students will be required to complete one </w:t>
      </w:r>
      <w:r>
        <w:t>Arch</w:t>
      </w:r>
      <w:r w:rsidRPr="00E56A88">
        <w:t>; exceptions will be made for select populations (e.g., transfer students who complete the OTM) or select programs (e.g., degree completion).</w:t>
      </w:r>
    </w:p>
  </w:endnote>
  <w:endnote w:id="6">
    <w:p w14:paraId="0A52EA94" w14:textId="77777777" w:rsidR="007753DB" w:rsidRDefault="007753DB" w:rsidP="007753DB">
      <w:pPr>
        <w:pStyle w:val="EndnoteText"/>
        <w:spacing w:after="120"/>
      </w:pPr>
      <w:r>
        <w:rPr>
          <w:rStyle w:val="EndnoteReference"/>
        </w:rPr>
        <w:endnoteRef/>
      </w:r>
      <w:r>
        <w:t xml:space="preserve"> Students may complete Arch requirements by completing individual courses not included in an Arch topic (i.e., Breadth of Knowledge). Individual course options not included in an Arch topic must include course content and experiences to achieve both Critical Thinking and Teamwork common goal learning outcomes.</w:t>
      </w:r>
    </w:p>
  </w:endnote>
  <w:endnote w:id="7">
    <w:p w14:paraId="29FDE5A5" w14:textId="77777777" w:rsidR="007753DB" w:rsidRDefault="007753DB" w:rsidP="007753DB">
      <w:pPr>
        <w:pStyle w:val="EndnoteText"/>
        <w:spacing w:after="120"/>
      </w:pPr>
      <w:r>
        <w:rPr>
          <w:rStyle w:val="EndnoteReference"/>
        </w:rPr>
        <w:endnoteRef/>
      </w:r>
      <w:r>
        <w:t xml:space="preserve"> Course o</w:t>
      </w:r>
      <w:r w:rsidRPr="00AA7D34">
        <w:t xml:space="preserve">ptions </w:t>
      </w:r>
      <w:r>
        <w:t xml:space="preserve">fulfilling Bridge requirements </w:t>
      </w:r>
      <w:r w:rsidRPr="00AA7D34">
        <w:t>may be (1) standalone courses (1+ credit hours), (2) courses taken concurrently with other courses, or (3) courses with a significant portion of content and experiences is focused on common goal learning outcomes.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Calibri"/>
    <w:panose1 w:val="020B0604020202020204"/>
    <w:charset w:val="00"/>
    <w:family w:val="swiss"/>
    <w:pitch w:val="variable"/>
    <w:sig w:usb0="E1002A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224983"/>
      <w:docPartObj>
        <w:docPartGallery w:val="Page Numbers (Bottom of Page)"/>
        <w:docPartUnique/>
      </w:docPartObj>
    </w:sdtPr>
    <w:sdtEndPr>
      <w:rPr>
        <w:color w:val="7F7F7F" w:themeColor="background1" w:themeShade="7F"/>
        <w:spacing w:val="60"/>
      </w:rPr>
    </w:sdtEndPr>
    <w:sdtContent>
      <w:p w14:paraId="5ED1F5EA" w14:textId="585F11C1" w:rsidR="00123F58" w:rsidRDefault="00123F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03C6">
          <w:rPr>
            <w:noProof/>
          </w:rPr>
          <w:t>2</w:t>
        </w:r>
        <w:r>
          <w:rPr>
            <w:noProof/>
          </w:rPr>
          <w:fldChar w:fldCharType="end"/>
        </w:r>
        <w:r>
          <w:t xml:space="preserve"> | </w:t>
        </w:r>
        <w:r>
          <w:rPr>
            <w:color w:val="7F7F7F" w:themeColor="background1" w:themeShade="7F"/>
            <w:spacing w:val="60"/>
          </w:rPr>
          <w:t>Page</w:t>
        </w:r>
      </w:p>
    </w:sdtContent>
  </w:sdt>
  <w:p w14:paraId="14D705D0" w14:textId="77777777" w:rsidR="00123F58" w:rsidRDefault="0012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502D" w14:textId="77777777" w:rsidR="00800780" w:rsidRDefault="00800780" w:rsidP="007753DB">
      <w:r>
        <w:separator/>
      </w:r>
    </w:p>
  </w:footnote>
  <w:footnote w:type="continuationSeparator" w:id="0">
    <w:p w14:paraId="4DD7D796" w14:textId="77777777" w:rsidR="00800780" w:rsidRDefault="00800780" w:rsidP="0077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7260A"/>
    <w:multiLevelType w:val="hybridMultilevel"/>
    <w:tmpl w:val="58B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tTAzMjE3MzUyNDVV0lEKTi0uzszPAykwrgUAgJumjiwAAAA="/>
  </w:docVars>
  <w:rsids>
    <w:rsidRoot w:val="00A30F65"/>
    <w:rsid w:val="00074DBB"/>
    <w:rsid w:val="00123F58"/>
    <w:rsid w:val="001E48DA"/>
    <w:rsid w:val="002A30A7"/>
    <w:rsid w:val="002D03C6"/>
    <w:rsid w:val="002E5468"/>
    <w:rsid w:val="004166E5"/>
    <w:rsid w:val="0047134F"/>
    <w:rsid w:val="00493FFF"/>
    <w:rsid w:val="004C72D6"/>
    <w:rsid w:val="004C7FB1"/>
    <w:rsid w:val="006366F9"/>
    <w:rsid w:val="00770F0B"/>
    <w:rsid w:val="007753DB"/>
    <w:rsid w:val="00800780"/>
    <w:rsid w:val="009167F7"/>
    <w:rsid w:val="009D3C0B"/>
    <w:rsid w:val="009F2135"/>
    <w:rsid w:val="00A178F8"/>
    <w:rsid w:val="00A30F65"/>
    <w:rsid w:val="00B93C6D"/>
    <w:rsid w:val="00C05A09"/>
    <w:rsid w:val="00CD789D"/>
    <w:rsid w:val="00DB1C35"/>
    <w:rsid w:val="00DE26CD"/>
    <w:rsid w:val="00F75657"/>
    <w:rsid w:val="00F8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389A"/>
  <w15:chartTrackingRefBased/>
  <w15:docId w15:val="{634C19FE-6530-43F5-B7B4-C618C6E1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F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6E5"/>
    <w:rPr>
      <w:sz w:val="16"/>
      <w:szCs w:val="16"/>
    </w:rPr>
  </w:style>
  <w:style w:type="paragraph" w:styleId="CommentText">
    <w:name w:val="annotation text"/>
    <w:basedOn w:val="Normal"/>
    <w:link w:val="CommentTextChar"/>
    <w:uiPriority w:val="99"/>
    <w:semiHidden/>
    <w:unhideWhenUsed/>
    <w:rsid w:val="004166E5"/>
    <w:rPr>
      <w:sz w:val="20"/>
      <w:szCs w:val="20"/>
    </w:rPr>
  </w:style>
  <w:style w:type="character" w:customStyle="1" w:styleId="CommentTextChar">
    <w:name w:val="Comment Text Char"/>
    <w:basedOn w:val="DefaultParagraphFont"/>
    <w:link w:val="CommentText"/>
    <w:uiPriority w:val="99"/>
    <w:semiHidden/>
    <w:rsid w:val="004166E5"/>
    <w:rPr>
      <w:sz w:val="20"/>
      <w:szCs w:val="20"/>
    </w:rPr>
  </w:style>
  <w:style w:type="paragraph" w:styleId="CommentSubject">
    <w:name w:val="annotation subject"/>
    <w:basedOn w:val="CommentText"/>
    <w:next w:val="CommentText"/>
    <w:link w:val="CommentSubjectChar"/>
    <w:uiPriority w:val="99"/>
    <w:semiHidden/>
    <w:unhideWhenUsed/>
    <w:rsid w:val="004166E5"/>
    <w:rPr>
      <w:b/>
      <w:bCs/>
    </w:rPr>
  </w:style>
  <w:style w:type="character" w:customStyle="1" w:styleId="CommentSubjectChar">
    <w:name w:val="Comment Subject Char"/>
    <w:basedOn w:val="CommentTextChar"/>
    <w:link w:val="CommentSubject"/>
    <w:uiPriority w:val="99"/>
    <w:semiHidden/>
    <w:rsid w:val="004166E5"/>
    <w:rPr>
      <w:b/>
      <w:bCs/>
      <w:sz w:val="20"/>
      <w:szCs w:val="20"/>
    </w:rPr>
  </w:style>
  <w:style w:type="paragraph" w:styleId="BalloonText">
    <w:name w:val="Balloon Text"/>
    <w:basedOn w:val="Normal"/>
    <w:link w:val="BalloonTextChar"/>
    <w:uiPriority w:val="99"/>
    <w:semiHidden/>
    <w:unhideWhenUsed/>
    <w:rsid w:val="00416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E5"/>
    <w:rPr>
      <w:rFonts w:ascii="Segoe UI" w:hAnsi="Segoe UI" w:cs="Segoe UI"/>
      <w:sz w:val="18"/>
      <w:szCs w:val="18"/>
    </w:rPr>
  </w:style>
  <w:style w:type="table" w:styleId="TableGrid">
    <w:name w:val="Table Grid"/>
    <w:basedOn w:val="TableNormal"/>
    <w:uiPriority w:val="39"/>
    <w:rsid w:val="007753DB"/>
    <w:pPr>
      <w:spacing w:before="120" w:after="12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3DB"/>
    <w:pPr>
      <w:spacing w:before="120" w:after="120"/>
      <w:ind w:left="720"/>
      <w:contextualSpacing/>
    </w:pPr>
    <w:rPr>
      <w:rFonts w:eastAsiaTheme="minorEastAsia"/>
    </w:rPr>
  </w:style>
  <w:style w:type="paragraph" w:styleId="NoSpacing">
    <w:name w:val="No Spacing"/>
    <w:link w:val="NoSpacingChar"/>
    <w:uiPriority w:val="1"/>
    <w:qFormat/>
    <w:rsid w:val="007753DB"/>
    <w:pPr>
      <w:spacing w:before="120" w:after="120" w:line="240" w:lineRule="auto"/>
    </w:pPr>
    <w:rPr>
      <w:rFonts w:eastAsiaTheme="minorEastAsia"/>
    </w:rPr>
  </w:style>
  <w:style w:type="character" w:customStyle="1" w:styleId="NoSpacingChar">
    <w:name w:val="No Spacing Char"/>
    <w:basedOn w:val="DefaultParagraphFont"/>
    <w:link w:val="NoSpacing"/>
    <w:uiPriority w:val="1"/>
    <w:rsid w:val="007753DB"/>
    <w:rPr>
      <w:rFonts w:eastAsiaTheme="minorEastAsia"/>
    </w:rPr>
  </w:style>
  <w:style w:type="paragraph" w:styleId="Caption">
    <w:name w:val="caption"/>
    <w:basedOn w:val="Normal"/>
    <w:next w:val="Normal"/>
    <w:uiPriority w:val="35"/>
    <w:unhideWhenUsed/>
    <w:qFormat/>
    <w:rsid w:val="007753DB"/>
    <w:pPr>
      <w:spacing w:before="120" w:after="200"/>
    </w:pPr>
    <w:rPr>
      <w:rFonts w:eastAsiaTheme="minorEastAsia"/>
      <w:i/>
      <w:iCs/>
      <w:color w:val="44546A" w:themeColor="text2"/>
      <w:sz w:val="18"/>
      <w:szCs w:val="18"/>
    </w:rPr>
  </w:style>
  <w:style w:type="table" w:styleId="TableGridLight">
    <w:name w:val="Grid Table Light"/>
    <w:basedOn w:val="TableNormal"/>
    <w:uiPriority w:val="40"/>
    <w:rsid w:val="007753DB"/>
    <w:pPr>
      <w:spacing w:before="120"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7753DB"/>
    <w:rPr>
      <w:rFonts w:eastAsiaTheme="minorEastAsia"/>
      <w:sz w:val="20"/>
      <w:szCs w:val="20"/>
    </w:rPr>
  </w:style>
  <w:style w:type="character" w:customStyle="1" w:styleId="EndnoteTextChar">
    <w:name w:val="Endnote Text Char"/>
    <w:basedOn w:val="DefaultParagraphFont"/>
    <w:link w:val="EndnoteText"/>
    <w:uiPriority w:val="99"/>
    <w:semiHidden/>
    <w:rsid w:val="007753DB"/>
    <w:rPr>
      <w:rFonts w:eastAsiaTheme="minorEastAsia"/>
      <w:sz w:val="20"/>
      <w:szCs w:val="20"/>
    </w:rPr>
  </w:style>
  <w:style w:type="character" w:styleId="EndnoteReference">
    <w:name w:val="endnote reference"/>
    <w:basedOn w:val="DefaultParagraphFont"/>
    <w:uiPriority w:val="99"/>
    <w:semiHidden/>
    <w:unhideWhenUsed/>
    <w:rsid w:val="007753DB"/>
    <w:rPr>
      <w:vertAlign w:val="superscript"/>
    </w:rPr>
  </w:style>
  <w:style w:type="paragraph" w:styleId="Header">
    <w:name w:val="header"/>
    <w:basedOn w:val="Normal"/>
    <w:link w:val="HeaderChar"/>
    <w:uiPriority w:val="99"/>
    <w:unhideWhenUsed/>
    <w:rsid w:val="00123F58"/>
    <w:pPr>
      <w:tabs>
        <w:tab w:val="center" w:pos="4680"/>
        <w:tab w:val="right" w:pos="9360"/>
      </w:tabs>
    </w:pPr>
  </w:style>
  <w:style w:type="character" w:customStyle="1" w:styleId="HeaderChar">
    <w:name w:val="Header Char"/>
    <w:basedOn w:val="DefaultParagraphFont"/>
    <w:link w:val="Header"/>
    <w:uiPriority w:val="99"/>
    <w:rsid w:val="00123F58"/>
  </w:style>
  <w:style w:type="paragraph" w:styleId="Footer">
    <w:name w:val="footer"/>
    <w:basedOn w:val="Normal"/>
    <w:link w:val="FooterChar"/>
    <w:uiPriority w:val="99"/>
    <w:unhideWhenUsed/>
    <w:rsid w:val="00123F58"/>
    <w:pPr>
      <w:tabs>
        <w:tab w:val="center" w:pos="4680"/>
        <w:tab w:val="right" w:pos="9360"/>
      </w:tabs>
    </w:pPr>
  </w:style>
  <w:style w:type="character" w:customStyle="1" w:styleId="FooterChar">
    <w:name w:val="Footer Char"/>
    <w:basedOn w:val="DefaultParagraphFont"/>
    <w:link w:val="Footer"/>
    <w:uiPriority w:val="99"/>
    <w:rsid w:val="0012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211CB-1A61-487D-B6F1-B6BECA56E845}">
  <ds:schemaRefs>
    <ds:schemaRef ds:uri="http://schemas.microsoft.com/sharepoint/v3/contenttype/forms"/>
  </ds:schemaRefs>
</ds:datastoreItem>
</file>

<file path=customXml/itemProps2.xml><?xml version="1.0" encoding="utf-8"?>
<ds:datastoreItem xmlns:ds="http://schemas.openxmlformats.org/officeDocument/2006/customXml" ds:itemID="{DE9EEC8F-E3BA-4506-BD6E-274E6BA57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B320F-EC27-4AAE-8EE0-5C894C420A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Katherine</dc:creator>
  <cp:keywords/>
  <dc:description/>
  <cp:lastModifiedBy>Brock, Angela</cp:lastModifiedBy>
  <cp:revision>2</cp:revision>
  <dcterms:created xsi:type="dcterms:W3CDTF">2020-05-20T14:37:00Z</dcterms:created>
  <dcterms:modified xsi:type="dcterms:W3CDTF">2020-05-20T14:37:00Z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