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77653" w14:textId="77777777" w:rsidR="00DE7FC4" w:rsidRPr="00DE7FC4" w:rsidRDefault="00DE7FC4" w:rsidP="00DE7FC4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DE7FC4">
        <w:rPr>
          <w:rFonts w:asciiTheme="majorHAnsi" w:hAnsiTheme="majorHAnsi" w:cstheme="majorHAnsi"/>
          <w:b/>
          <w:bCs/>
          <w:sz w:val="24"/>
          <w:szCs w:val="24"/>
        </w:rPr>
        <w:t>Resolution to Clarify Differential Workload Distributions for RHE Faculty in the Faculty Handbook</w:t>
      </w:r>
    </w:p>
    <w:p w14:paraId="64230A05" w14:textId="77777777" w:rsidR="00DE7FC4" w:rsidRPr="00DE7FC4" w:rsidRDefault="00DE7FC4" w:rsidP="00DE7FC4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 w:rsidRPr="00DE7FC4">
        <w:rPr>
          <w:rFonts w:asciiTheme="majorHAnsi" w:hAnsiTheme="majorHAnsi" w:cstheme="majorHAnsi"/>
          <w:sz w:val="24"/>
          <w:szCs w:val="24"/>
        </w:rPr>
        <w:t>Professional Relations Committee</w:t>
      </w:r>
    </w:p>
    <w:p w14:paraId="2F4440AD" w14:textId="77777777" w:rsidR="00DE7FC4" w:rsidRPr="00DE7FC4" w:rsidRDefault="00DE7FC4" w:rsidP="00DE7FC4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 w:rsidRPr="00DE7FC4">
        <w:rPr>
          <w:rFonts w:asciiTheme="majorHAnsi" w:hAnsiTheme="majorHAnsi" w:cstheme="majorHAnsi"/>
          <w:sz w:val="24"/>
          <w:szCs w:val="24"/>
        </w:rPr>
        <w:t>Faculty Senate</w:t>
      </w:r>
    </w:p>
    <w:p w14:paraId="68720509" w14:textId="4C555C7E" w:rsidR="00DE7FC4" w:rsidRPr="00336E91" w:rsidRDefault="00072BB8" w:rsidP="00DE7FC4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Second</w:t>
      </w:r>
      <w:r w:rsidR="006940D4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36E91" w:rsidRPr="00336E91">
        <w:rPr>
          <w:rFonts w:asciiTheme="majorHAnsi" w:hAnsiTheme="majorHAnsi" w:cstheme="majorHAnsi"/>
          <w:b/>
          <w:bCs/>
          <w:sz w:val="24"/>
          <w:szCs w:val="24"/>
        </w:rPr>
        <w:t xml:space="preserve"> Read</w:t>
      </w:r>
      <w:r>
        <w:rPr>
          <w:rFonts w:asciiTheme="majorHAnsi" w:hAnsiTheme="majorHAnsi" w:cstheme="majorHAnsi"/>
          <w:b/>
          <w:bCs/>
          <w:sz w:val="24"/>
          <w:szCs w:val="24"/>
        </w:rPr>
        <w:t>ing</w:t>
      </w:r>
      <w:r w:rsidR="00336E91" w:rsidRPr="00336E9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6940D4">
        <w:rPr>
          <w:rFonts w:asciiTheme="majorHAnsi" w:hAnsiTheme="majorHAnsi" w:cstheme="majorHAnsi"/>
          <w:b/>
          <w:bCs/>
          <w:sz w:val="24"/>
          <w:szCs w:val="24"/>
        </w:rPr>
        <w:t>April 4</w:t>
      </w:r>
      <w:r>
        <w:rPr>
          <w:rFonts w:asciiTheme="majorHAnsi" w:hAnsiTheme="majorHAnsi" w:cstheme="majorHAnsi"/>
          <w:b/>
          <w:bCs/>
          <w:sz w:val="24"/>
          <w:szCs w:val="24"/>
        </w:rPr>
        <w:t>, 2022</w:t>
      </w:r>
    </w:p>
    <w:p w14:paraId="79382274" w14:textId="77777777" w:rsidR="00DE7FC4" w:rsidRPr="00DE7FC4" w:rsidRDefault="00DE7FC4" w:rsidP="00DE7FC4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DE7FC4">
        <w:rPr>
          <w:rFonts w:asciiTheme="majorHAnsi" w:hAnsiTheme="majorHAnsi" w:cstheme="majorHAnsi"/>
          <w:b/>
          <w:bCs/>
          <w:sz w:val="24"/>
          <w:szCs w:val="24"/>
        </w:rPr>
        <w:t>Whereas</w:t>
      </w:r>
      <w:r w:rsidR="000D2325">
        <w:rPr>
          <w:rFonts w:asciiTheme="majorHAnsi" w:hAnsiTheme="majorHAnsi" w:cstheme="majorHAnsi"/>
          <w:sz w:val="24"/>
          <w:szCs w:val="24"/>
        </w:rPr>
        <w:t>, One</w:t>
      </w:r>
      <w:r w:rsidRPr="00DE7FC4">
        <w:rPr>
          <w:rFonts w:asciiTheme="majorHAnsi" w:hAnsiTheme="majorHAnsi" w:cstheme="majorHAnsi"/>
          <w:sz w:val="24"/>
          <w:szCs w:val="24"/>
        </w:rPr>
        <w:t>OHIO resulted in RHE faculty promotion/tenure homes being reassigned to Athens campus academic departments, while maintaining each faculty member’s regional campus affiliation, and</w:t>
      </w:r>
    </w:p>
    <w:p w14:paraId="798EA377" w14:textId="77777777" w:rsidR="00DE7FC4" w:rsidRPr="00DE7FC4" w:rsidRDefault="00DE7FC4" w:rsidP="00DE7FC4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021F8A6" w14:textId="77777777" w:rsidR="00DE7FC4" w:rsidRPr="00DE7FC4" w:rsidRDefault="00DE7FC4" w:rsidP="00DE7FC4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DE7FC4">
        <w:rPr>
          <w:rFonts w:asciiTheme="majorHAnsi" w:hAnsiTheme="majorHAnsi" w:cstheme="majorHAnsi"/>
          <w:b/>
          <w:bCs/>
          <w:sz w:val="24"/>
          <w:szCs w:val="24"/>
        </w:rPr>
        <w:t>Whereas,</w:t>
      </w:r>
      <w:r w:rsidRPr="00DE7FC4">
        <w:rPr>
          <w:rFonts w:asciiTheme="majorHAnsi" w:hAnsiTheme="majorHAnsi" w:cstheme="majorHAnsi"/>
          <w:sz w:val="24"/>
          <w:szCs w:val="24"/>
        </w:rPr>
        <w:t xml:space="preserve"> the departments, schools, and colleges on the Athens campus are required to provide equitable treatment of RHE faculty in promotion and tenure, and </w:t>
      </w:r>
    </w:p>
    <w:p w14:paraId="624CF236" w14:textId="77777777" w:rsidR="00DE7FC4" w:rsidRPr="00DE7FC4" w:rsidRDefault="00DE7FC4" w:rsidP="00DE7FC4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CF4EFD6" w14:textId="77777777" w:rsidR="00DE7FC4" w:rsidRPr="00DE7FC4" w:rsidRDefault="00DE7FC4" w:rsidP="00DE7FC4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DE7FC4">
        <w:rPr>
          <w:rFonts w:asciiTheme="majorHAnsi" w:hAnsiTheme="majorHAnsi" w:cstheme="majorHAnsi"/>
          <w:b/>
          <w:bCs/>
          <w:sz w:val="24"/>
          <w:szCs w:val="24"/>
        </w:rPr>
        <w:t>Whereas,</w:t>
      </w:r>
      <w:r w:rsidRPr="00DE7FC4">
        <w:rPr>
          <w:rFonts w:asciiTheme="majorHAnsi" w:hAnsiTheme="majorHAnsi" w:cstheme="majorHAnsi"/>
          <w:sz w:val="24"/>
          <w:szCs w:val="24"/>
        </w:rPr>
        <w:t xml:space="preserve"> the departments, schools, and colleges on the Athens campus are required to provide equitable treatment of RHE faculty in the annual evaluation and merit processes, and</w:t>
      </w:r>
    </w:p>
    <w:p w14:paraId="1BA1C600" w14:textId="77777777" w:rsidR="00DE7FC4" w:rsidRPr="00DE7FC4" w:rsidRDefault="00DE7FC4" w:rsidP="00DE7FC4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2835BF00" w14:textId="77777777" w:rsidR="00DE7FC4" w:rsidRPr="00DE7FC4" w:rsidRDefault="00DE7FC4" w:rsidP="00DE7FC4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DE7FC4">
        <w:rPr>
          <w:rFonts w:asciiTheme="majorHAnsi" w:hAnsiTheme="majorHAnsi" w:cstheme="majorHAnsi"/>
          <w:b/>
          <w:bCs/>
          <w:sz w:val="24"/>
          <w:szCs w:val="24"/>
        </w:rPr>
        <w:t>Whereas,</w:t>
      </w:r>
      <w:r w:rsidRPr="00DE7FC4">
        <w:rPr>
          <w:rFonts w:asciiTheme="majorHAnsi" w:hAnsiTheme="majorHAnsi" w:cstheme="majorHAnsi"/>
          <w:sz w:val="24"/>
          <w:szCs w:val="24"/>
        </w:rPr>
        <w:t xml:space="preserve"> RHE faculty workload distributions are frequently inconsistent with current promotion/tenure departments and/or school and college workload policies posing the risk for inequitable evaluations of </w:t>
      </w:r>
      <w:r>
        <w:rPr>
          <w:rFonts w:asciiTheme="majorHAnsi" w:hAnsiTheme="majorHAnsi" w:cstheme="majorHAnsi"/>
          <w:sz w:val="24"/>
          <w:szCs w:val="24"/>
        </w:rPr>
        <w:t>regional campus-</w:t>
      </w:r>
      <w:r w:rsidRPr="00DE7FC4">
        <w:rPr>
          <w:rFonts w:asciiTheme="majorHAnsi" w:hAnsiTheme="majorHAnsi" w:cstheme="majorHAnsi"/>
          <w:sz w:val="24"/>
          <w:szCs w:val="24"/>
        </w:rPr>
        <w:t xml:space="preserve"> affiliated faculty for promotion/tenure, annual review, and merit adjustments, </w:t>
      </w:r>
    </w:p>
    <w:p w14:paraId="30ED240A" w14:textId="77777777" w:rsidR="00DE7FC4" w:rsidRPr="00DE7FC4" w:rsidRDefault="00DE7FC4" w:rsidP="00DE7FC4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48C6096" w14:textId="77777777" w:rsidR="00DE7FC4" w:rsidRPr="00DE7FC4" w:rsidRDefault="00DE7FC4" w:rsidP="00DE7FC4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DE7FC4">
        <w:rPr>
          <w:rFonts w:asciiTheme="majorHAnsi" w:hAnsiTheme="majorHAnsi" w:cstheme="majorHAnsi"/>
          <w:sz w:val="24"/>
          <w:szCs w:val="24"/>
        </w:rPr>
        <w:t>Be it Resolved that Ohio University Faculty Handbook Section.II.O, be revised as follows:</w:t>
      </w:r>
    </w:p>
    <w:p w14:paraId="686222DF" w14:textId="77777777" w:rsidR="00DE7FC4" w:rsidRPr="00DE7FC4" w:rsidRDefault="00DE7FC4" w:rsidP="00DE7FC4">
      <w:pPr>
        <w:spacing w:after="12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17E0B0B0" w14:textId="77777777" w:rsidR="00DE7FC4" w:rsidRPr="00DE7FC4" w:rsidRDefault="00DE7FC4" w:rsidP="00DE7FC4">
      <w:pPr>
        <w:spacing w:after="12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E7FC4">
        <w:rPr>
          <w:rFonts w:asciiTheme="majorHAnsi" w:hAnsiTheme="majorHAnsi" w:cstheme="majorHAnsi"/>
          <w:b/>
          <w:bCs/>
          <w:sz w:val="24"/>
          <w:szCs w:val="24"/>
        </w:rPr>
        <w:t xml:space="preserve">O. Regional campus faculty members </w:t>
      </w:r>
    </w:p>
    <w:p w14:paraId="21E70417" w14:textId="77777777" w:rsidR="00DE7FC4" w:rsidRPr="00DE7FC4" w:rsidRDefault="00DE7FC4" w:rsidP="00DE7FC4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DE7FC4">
        <w:rPr>
          <w:rFonts w:asciiTheme="majorHAnsi" w:hAnsiTheme="majorHAnsi" w:cstheme="majorHAnsi"/>
          <w:sz w:val="24"/>
          <w:szCs w:val="24"/>
        </w:rPr>
        <w:t>Persons appointed to teaching positions at the regional campuses are members of the faculty of Ohio University under the terms and conditions of this Faculty Handbook.</w:t>
      </w:r>
    </w:p>
    <w:p w14:paraId="3694AA04" w14:textId="77777777" w:rsidR="00DE7FC4" w:rsidRPr="00DE7FC4" w:rsidRDefault="00DE7FC4" w:rsidP="00DE7FC4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DE7FC4">
        <w:rPr>
          <w:rFonts w:asciiTheme="majorHAnsi" w:hAnsiTheme="majorHAnsi" w:cstheme="majorHAnsi"/>
          <w:sz w:val="24"/>
          <w:szCs w:val="24"/>
        </w:rPr>
        <w:t xml:space="preserve">Each appointment to a faculty position shall be designated to a </w:t>
      </w:r>
      <w:r w:rsidRPr="00DE7FC4">
        <w:rPr>
          <w:rFonts w:asciiTheme="majorHAnsi" w:hAnsiTheme="majorHAnsi" w:cstheme="majorHAnsi"/>
          <w:color w:val="C00000"/>
          <w:sz w:val="24"/>
          <w:szCs w:val="24"/>
        </w:rPr>
        <w:t xml:space="preserve">promotion/tenure </w:t>
      </w:r>
      <w:r w:rsidRPr="00DE7FC4">
        <w:rPr>
          <w:rFonts w:asciiTheme="majorHAnsi" w:hAnsiTheme="majorHAnsi" w:cstheme="majorHAnsi"/>
          <w:sz w:val="24"/>
          <w:szCs w:val="24"/>
        </w:rPr>
        <w:t xml:space="preserve">home department </w:t>
      </w:r>
      <w:r w:rsidRPr="00DE7FC4">
        <w:rPr>
          <w:rFonts w:asciiTheme="majorHAnsi" w:hAnsiTheme="majorHAnsi" w:cstheme="majorHAnsi"/>
          <w:color w:val="C00000"/>
          <w:sz w:val="24"/>
          <w:szCs w:val="24"/>
        </w:rPr>
        <w:t>with a regional campus affiliation</w:t>
      </w:r>
      <w:r w:rsidRPr="00DE7FC4">
        <w:rPr>
          <w:rFonts w:asciiTheme="majorHAnsi" w:hAnsiTheme="majorHAnsi" w:cstheme="majorHAnsi"/>
          <w:sz w:val="24"/>
          <w:szCs w:val="24"/>
        </w:rPr>
        <w:t>.</w:t>
      </w:r>
    </w:p>
    <w:p w14:paraId="004B361F" w14:textId="3857494C" w:rsidR="00DE7FC4" w:rsidRPr="00DE7FC4" w:rsidRDefault="00DE7FC4" w:rsidP="00DE7FC4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Theme="majorHAnsi" w:hAnsiTheme="majorHAnsi" w:cstheme="majorHAnsi"/>
          <w:color w:val="C00000"/>
          <w:sz w:val="24"/>
          <w:szCs w:val="24"/>
        </w:rPr>
      </w:pPr>
      <w:r w:rsidRPr="00DE7FC4">
        <w:rPr>
          <w:rFonts w:asciiTheme="majorHAnsi" w:hAnsiTheme="majorHAnsi" w:cstheme="majorHAnsi"/>
          <w:color w:val="C00000"/>
          <w:sz w:val="24"/>
          <w:szCs w:val="24"/>
        </w:rPr>
        <w:t>The terms and conditions (FTE, T:R:S distribution, and salary) of appointments for regional campus affiliated faculty members are established at the time of hire or through subsequent modifications (see Section II.D.1).</w:t>
      </w:r>
      <w:r w:rsidR="004055F7">
        <w:rPr>
          <w:rFonts w:asciiTheme="majorHAnsi" w:hAnsiTheme="majorHAnsi" w:cstheme="majorHAnsi"/>
          <w:color w:val="C00000"/>
          <w:sz w:val="24"/>
          <w:szCs w:val="24"/>
        </w:rPr>
        <w:t xml:space="preserve"> </w:t>
      </w:r>
      <w:r w:rsidR="004055F7" w:rsidRPr="004055F7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 xml:space="preserve">Regional campus-affiliated faculty’s primary teaching and service responsibility is typically </w:t>
      </w:r>
      <w:r w:rsidR="004055F7" w:rsidRPr="00B56777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 xml:space="preserve">to the faculty-affiliated campus.  </w:t>
      </w:r>
    </w:p>
    <w:p w14:paraId="6067EE7E" w14:textId="77777777" w:rsidR="00DE7FC4" w:rsidRPr="00DE7FC4" w:rsidRDefault="00DE7FC4" w:rsidP="00DE7FC4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DE7FC4">
        <w:rPr>
          <w:rFonts w:asciiTheme="majorHAnsi" w:hAnsiTheme="majorHAnsi" w:cstheme="majorHAnsi"/>
          <w:sz w:val="24"/>
          <w:szCs w:val="24"/>
        </w:rPr>
        <w:t>Part and full-time regional campus</w:t>
      </w:r>
      <w:r>
        <w:rPr>
          <w:rFonts w:asciiTheme="majorHAnsi" w:hAnsiTheme="majorHAnsi" w:cstheme="majorHAnsi"/>
          <w:sz w:val="24"/>
          <w:szCs w:val="24"/>
        </w:rPr>
        <w:t>-</w:t>
      </w:r>
      <w:r w:rsidRPr="00DE7FC4">
        <w:rPr>
          <w:rFonts w:asciiTheme="majorHAnsi" w:hAnsiTheme="majorHAnsi" w:cstheme="majorHAnsi"/>
          <w:sz w:val="24"/>
          <w:szCs w:val="24"/>
        </w:rPr>
        <w:t xml:space="preserve"> </w:t>
      </w:r>
      <w:r w:rsidRPr="00DE7FC4">
        <w:rPr>
          <w:rFonts w:asciiTheme="majorHAnsi" w:hAnsiTheme="majorHAnsi" w:cstheme="majorHAnsi"/>
          <w:color w:val="C00000"/>
          <w:sz w:val="24"/>
          <w:szCs w:val="24"/>
        </w:rPr>
        <w:t>affiliated</w:t>
      </w:r>
      <w:r w:rsidRPr="00DE7FC4">
        <w:rPr>
          <w:rFonts w:asciiTheme="majorHAnsi" w:hAnsiTheme="majorHAnsi" w:cstheme="majorHAnsi"/>
          <w:sz w:val="24"/>
          <w:szCs w:val="24"/>
        </w:rPr>
        <w:t xml:space="preserve"> faculty members conduct instruction in courses that are the responsibility of Athens campus academic departments. The following will apply:</w:t>
      </w:r>
    </w:p>
    <w:p w14:paraId="0E355090" w14:textId="77777777" w:rsidR="00DE7FC4" w:rsidRPr="00DE7FC4" w:rsidRDefault="00DE7FC4" w:rsidP="00DE7FC4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DE7FC4">
        <w:rPr>
          <w:rFonts w:asciiTheme="majorHAnsi" w:hAnsiTheme="majorHAnsi" w:cstheme="majorHAnsi"/>
          <w:sz w:val="24"/>
          <w:szCs w:val="24"/>
        </w:rPr>
        <w:t>The initial appointment requires the approval of the Athens campus department,</w:t>
      </w:r>
    </w:p>
    <w:p w14:paraId="2E605EAF" w14:textId="77777777" w:rsidR="00DE7FC4" w:rsidRPr="00DE7FC4" w:rsidRDefault="00DE7FC4" w:rsidP="00DE7FC4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DE7FC4">
        <w:rPr>
          <w:rFonts w:asciiTheme="majorHAnsi" w:hAnsiTheme="majorHAnsi" w:cstheme="majorHAnsi"/>
          <w:strike/>
          <w:color w:val="C00000"/>
          <w:sz w:val="24"/>
          <w:szCs w:val="24"/>
        </w:rPr>
        <w:t>The faculty member may teach only those courses for which he/she/they are approved by the department</w:t>
      </w:r>
      <w:r w:rsidRPr="00DE7FC4">
        <w:rPr>
          <w:rFonts w:asciiTheme="majorHAnsi" w:hAnsiTheme="majorHAnsi" w:cstheme="majorHAnsi"/>
          <w:sz w:val="24"/>
          <w:szCs w:val="24"/>
        </w:rPr>
        <w:t xml:space="preserve"> </w:t>
      </w:r>
      <w:r w:rsidRPr="00DE7FC4">
        <w:rPr>
          <w:rFonts w:asciiTheme="majorHAnsi" w:hAnsiTheme="majorHAnsi" w:cstheme="majorHAnsi"/>
          <w:color w:val="C00000"/>
          <w:sz w:val="24"/>
          <w:szCs w:val="24"/>
        </w:rPr>
        <w:t>The faculty member’s promotion/tenure home department is responsible for assessing the faculty member’s academic qualifications to teach specific courses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421D2628" w14:textId="30570E1B" w:rsidR="00DE7FC4" w:rsidRPr="003673E0" w:rsidRDefault="00DE7FC4" w:rsidP="00DE7FC4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asciiTheme="majorHAnsi" w:hAnsiTheme="majorHAnsi" w:cstheme="majorHAnsi"/>
          <w:color w:val="2E74B5" w:themeColor="accent1" w:themeShade="BF"/>
          <w:sz w:val="24"/>
          <w:szCs w:val="24"/>
        </w:rPr>
      </w:pPr>
      <w:r w:rsidRPr="00DE7FC4">
        <w:rPr>
          <w:rFonts w:asciiTheme="majorHAnsi" w:hAnsiTheme="majorHAnsi" w:cstheme="majorHAnsi"/>
          <w:color w:val="C00000"/>
          <w:sz w:val="24"/>
          <w:szCs w:val="24"/>
        </w:rPr>
        <w:lastRenderedPageBreak/>
        <w:t>Teaching assignments (classes</w:t>
      </w:r>
      <w:r>
        <w:rPr>
          <w:rFonts w:asciiTheme="majorHAnsi" w:hAnsiTheme="majorHAnsi" w:cstheme="majorHAnsi"/>
          <w:color w:val="C00000"/>
          <w:sz w:val="24"/>
          <w:szCs w:val="24"/>
        </w:rPr>
        <w:t xml:space="preserve"> taught</w:t>
      </w:r>
      <w:r w:rsidRPr="00DE7FC4">
        <w:rPr>
          <w:rFonts w:asciiTheme="majorHAnsi" w:hAnsiTheme="majorHAnsi" w:cstheme="majorHAnsi"/>
          <w:color w:val="C00000"/>
          <w:sz w:val="24"/>
          <w:szCs w:val="24"/>
        </w:rPr>
        <w:t>, time,</w:t>
      </w:r>
      <w:r w:rsidR="003673E0">
        <w:rPr>
          <w:rFonts w:asciiTheme="majorHAnsi" w:hAnsiTheme="majorHAnsi" w:cstheme="majorHAnsi"/>
          <w:color w:val="C00000"/>
          <w:sz w:val="24"/>
          <w:szCs w:val="24"/>
        </w:rPr>
        <w:t xml:space="preserve"> </w:t>
      </w:r>
      <w:r w:rsidR="003673E0" w:rsidRPr="003673E0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>modality</w:t>
      </w:r>
      <w:r w:rsidRPr="00DE7FC4">
        <w:rPr>
          <w:rFonts w:asciiTheme="majorHAnsi" w:hAnsiTheme="majorHAnsi" w:cstheme="majorHAnsi"/>
          <w:color w:val="C00000"/>
          <w:sz w:val="24"/>
          <w:szCs w:val="24"/>
        </w:rPr>
        <w:t xml:space="preserve"> and place of meeting) for a given academic term is jointly determined by the regional campus</w:t>
      </w:r>
      <w:r w:rsidR="006940D4">
        <w:rPr>
          <w:rFonts w:asciiTheme="majorHAnsi" w:hAnsiTheme="majorHAnsi" w:cstheme="majorHAnsi"/>
          <w:color w:val="C00000"/>
          <w:sz w:val="24"/>
          <w:szCs w:val="24"/>
        </w:rPr>
        <w:t xml:space="preserve"> </w:t>
      </w:r>
      <w:r w:rsidRPr="00DE7FC4">
        <w:rPr>
          <w:rFonts w:asciiTheme="majorHAnsi" w:hAnsiTheme="majorHAnsi" w:cstheme="majorHAnsi"/>
          <w:color w:val="C00000"/>
          <w:sz w:val="24"/>
          <w:szCs w:val="24"/>
        </w:rPr>
        <w:t>and the promotion/tenure home department</w:t>
      </w:r>
      <w:r w:rsidR="006940D4">
        <w:rPr>
          <w:rFonts w:asciiTheme="majorHAnsi" w:hAnsiTheme="majorHAnsi" w:cstheme="majorHAnsi"/>
          <w:color w:val="C00000"/>
          <w:sz w:val="24"/>
          <w:szCs w:val="24"/>
        </w:rPr>
        <w:t xml:space="preserve"> </w:t>
      </w:r>
      <w:r w:rsidR="006940D4" w:rsidRPr="004055F7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 xml:space="preserve">through the scheduling process. </w:t>
      </w:r>
    </w:p>
    <w:p w14:paraId="734DAA6A" w14:textId="77777777" w:rsidR="00DE7FC4" w:rsidRDefault="00DE7FC4" w:rsidP="00DE7FC4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bookmarkStart w:id="0" w:name="_Hlk90895712"/>
      <w:r w:rsidRPr="00DE7FC4">
        <w:rPr>
          <w:rFonts w:asciiTheme="majorHAnsi" w:hAnsiTheme="majorHAnsi" w:cstheme="majorHAnsi"/>
          <w:sz w:val="24"/>
          <w:szCs w:val="24"/>
        </w:rPr>
        <w:t xml:space="preserve">Advancement in rank or award of tenure is the responsibility of the Athens </w:t>
      </w:r>
      <w:r w:rsidRPr="00DE7FC4">
        <w:rPr>
          <w:rFonts w:asciiTheme="majorHAnsi" w:hAnsiTheme="majorHAnsi" w:cstheme="majorHAnsi"/>
          <w:color w:val="C00000"/>
          <w:sz w:val="24"/>
          <w:szCs w:val="24"/>
        </w:rPr>
        <w:t xml:space="preserve">promotion/tenure </w:t>
      </w:r>
      <w:r w:rsidRPr="00DE7FC4">
        <w:rPr>
          <w:rFonts w:asciiTheme="majorHAnsi" w:hAnsiTheme="majorHAnsi" w:cstheme="majorHAnsi"/>
          <w:sz w:val="24"/>
          <w:szCs w:val="24"/>
        </w:rPr>
        <w:t xml:space="preserve">home department and follow criteria presented at the time of hire </w:t>
      </w:r>
      <w:r w:rsidRPr="00DE7FC4">
        <w:rPr>
          <w:rFonts w:asciiTheme="majorHAnsi" w:hAnsiTheme="majorHAnsi" w:cstheme="majorHAnsi"/>
          <w:color w:val="C00000"/>
          <w:sz w:val="24"/>
          <w:szCs w:val="24"/>
        </w:rPr>
        <w:t>(see Section II.E)</w:t>
      </w:r>
      <w:r w:rsidRPr="00DE7FC4">
        <w:rPr>
          <w:rFonts w:asciiTheme="majorHAnsi" w:hAnsiTheme="majorHAnsi" w:cstheme="majorHAnsi"/>
          <w:sz w:val="24"/>
          <w:szCs w:val="24"/>
        </w:rPr>
        <w:t>.</w:t>
      </w:r>
    </w:p>
    <w:p w14:paraId="058F9534" w14:textId="391CC25C" w:rsidR="000D2325" w:rsidRPr="0014482D" w:rsidRDefault="000D2325" w:rsidP="00DE7FC4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Theme="majorHAnsi" w:hAnsiTheme="majorHAnsi" w:cstheme="majorHAnsi"/>
          <w:color w:val="C00000"/>
          <w:sz w:val="24"/>
          <w:szCs w:val="24"/>
        </w:rPr>
      </w:pPr>
      <w:r w:rsidRPr="000D2325">
        <w:rPr>
          <w:rFonts w:asciiTheme="majorHAnsi" w:hAnsiTheme="majorHAnsi" w:cstheme="majorHAnsi"/>
          <w:color w:val="C00000"/>
          <w:sz w:val="24"/>
          <w:szCs w:val="24"/>
        </w:rPr>
        <w:t>Annually, department chairs</w:t>
      </w:r>
      <w:r w:rsidR="003D3D8D">
        <w:rPr>
          <w:rFonts w:asciiTheme="majorHAnsi" w:hAnsiTheme="majorHAnsi" w:cstheme="majorHAnsi"/>
          <w:color w:val="C00000"/>
          <w:sz w:val="24"/>
          <w:szCs w:val="24"/>
        </w:rPr>
        <w:t>/directors</w:t>
      </w:r>
      <w:r w:rsidRPr="000D2325">
        <w:rPr>
          <w:rFonts w:asciiTheme="majorHAnsi" w:hAnsiTheme="majorHAnsi" w:cstheme="majorHAnsi"/>
          <w:color w:val="C00000"/>
          <w:sz w:val="24"/>
          <w:szCs w:val="24"/>
        </w:rPr>
        <w:t xml:space="preserve"> shall evaluate all faculty members of the unit with regard to salary (Section II.E</w:t>
      </w:r>
      <w:r>
        <w:rPr>
          <w:rFonts w:asciiTheme="majorHAnsi" w:hAnsiTheme="majorHAnsi" w:cstheme="majorHAnsi"/>
          <w:color w:val="C00000"/>
          <w:sz w:val="24"/>
          <w:szCs w:val="24"/>
        </w:rPr>
        <w:t>.1</w:t>
      </w:r>
      <w:r w:rsidRPr="000D2325">
        <w:rPr>
          <w:rFonts w:asciiTheme="majorHAnsi" w:hAnsiTheme="majorHAnsi" w:cstheme="majorHAnsi"/>
          <w:color w:val="C00000"/>
          <w:sz w:val="24"/>
          <w:szCs w:val="24"/>
        </w:rPr>
        <w:t xml:space="preserve">). </w:t>
      </w:r>
      <w:r w:rsidR="0014482D" w:rsidRPr="0014482D">
        <w:rPr>
          <w:rFonts w:ascii="Segoe UI" w:hAnsi="Segoe UI" w:cs="Segoe UI"/>
          <w:color w:val="C00000"/>
          <w:sz w:val="21"/>
          <w:szCs w:val="21"/>
          <w:shd w:val="clear" w:color="auto" w:fill="FFFFFF"/>
        </w:rPr>
        <w:t>For faculty with a regional campus affiliation, department chairs/directors (or designees) should seek input from regional campus deans (or designees) for the purpose of providing context relative to teaching and/or service on the regional campus.</w:t>
      </w:r>
    </w:p>
    <w:bookmarkEnd w:id="0"/>
    <w:p w14:paraId="705BA68F" w14:textId="77777777" w:rsidR="005E5DB1" w:rsidRPr="00DE7FC4" w:rsidRDefault="005E5DB1">
      <w:pPr>
        <w:rPr>
          <w:rFonts w:asciiTheme="majorHAnsi" w:hAnsiTheme="majorHAnsi" w:cstheme="majorHAnsi"/>
          <w:sz w:val="24"/>
          <w:szCs w:val="24"/>
        </w:rPr>
      </w:pPr>
    </w:p>
    <w:sectPr w:rsidR="005E5DB1" w:rsidRPr="00DE7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5866"/>
    <w:multiLevelType w:val="multilevel"/>
    <w:tmpl w:val="532635D8"/>
    <w:lvl w:ilvl="0">
      <w:start w:val="2"/>
      <w:numFmt w:val="upperRoman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  <w:b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ascii="Calibri" w:hAnsi="Calibri" w:hint="default"/>
        <w:b/>
        <w:i w:val="0"/>
        <w:sz w:val="22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Calibri" w:hAnsi="Calibri" w:hint="default"/>
        <w:b/>
        <w:i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32583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FC4"/>
    <w:rsid w:val="00055240"/>
    <w:rsid w:val="00072BB8"/>
    <w:rsid w:val="000D2325"/>
    <w:rsid w:val="0014482D"/>
    <w:rsid w:val="00336E91"/>
    <w:rsid w:val="003673E0"/>
    <w:rsid w:val="003D3D8D"/>
    <w:rsid w:val="004055F7"/>
    <w:rsid w:val="004335A2"/>
    <w:rsid w:val="005E5DB1"/>
    <w:rsid w:val="006940D4"/>
    <w:rsid w:val="006F17AC"/>
    <w:rsid w:val="00DE7FC4"/>
    <w:rsid w:val="00F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6C955"/>
  <w15:chartTrackingRefBased/>
  <w15:docId w15:val="{BD1A51CF-914F-435C-A269-7FAEF498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FC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FC4"/>
    <w:pPr>
      <w:ind w:left="720"/>
      <w:contextualSpacing/>
    </w:pPr>
  </w:style>
  <w:style w:type="paragraph" w:styleId="NoSpacing">
    <w:name w:val="No Spacing"/>
    <w:uiPriority w:val="1"/>
    <w:qFormat/>
    <w:rsid w:val="00DE7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Char</dc:creator>
  <cp:keywords/>
  <dc:description/>
  <cp:lastModifiedBy>Brock, Angela</cp:lastModifiedBy>
  <cp:revision>2</cp:revision>
  <dcterms:created xsi:type="dcterms:W3CDTF">2022-04-04T16:45:00Z</dcterms:created>
  <dcterms:modified xsi:type="dcterms:W3CDTF">2022-04-04T16:45:00Z</dcterms:modified>
</cp:coreProperties>
</file>