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B8FB" w14:textId="64E6C069" w:rsidR="00092628" w:rsidRPr="00092628" w:rsidRDefault="00092628" w:rsidP="00092628">
      <w:pPr>
        <w:spacing w:after="0"/>
        <w:jc w:val="center"/>
        <w:rPr>
          <w:rFonts w:ascii="Times New Roman" w:eastAsia="Times New Roman" w:hAnsi="Times New Roman" w:cs="Times New Roman"/>
          <w:b/>
          <w:bCs/>
        </w:rPr>
      </w:pPr>
      <w:bookmarkStart w:id="0" w:name="_Hlk113558160"/>
      <w:r w:rsidRPr="443D3475">
        <w:rPr>
          <w:rFonts w:ascii="Times New Roman" w:eastAsia="Times New Roman" w:hAnsi="Times New Roman" w:cs="Times New Roman"/>
          <w:b/>
          <w:bCs/>
        </w:rPr>
        <w:t>MEMO</w:t>
      </w:r>
      <w:r w:rsidR="003C0E8A">
        <w:rPr>
          <w:rFonts w:ascii="Times New Roman" w:eastAsia="Times New Roman" w:hAnsi="Times New Roman" w:cs="Times New Roman"/>
          <w:b/>
          <w:bCs/>
        </w:rPr>
        <w:t xml:space="preserve"> (</w:t>
      </w:r>
      <w:r w:rsidR="005F06C2">
        <w:rPr>
          <w:rFonts w:ascii="Times New Roman" w:eastAsia="Times New Roman" w:hAnsi="Times New Roman" w:cs="Times New Roman"/>
          <w:b/>
          <w:bCs/>
        </w:rPr>
        <w:t>Second Reading</w:t>
      </w:r>
      <w:r w:rsidR="003C0E8A">
        <w:rPr>
          <w:rFonts w:ascii="Times New Roman" w:eastAsia="Times New Roman" w:hAnsi="Times New Roman" w:cs="Times New Roman"/>
          <w:b/>
          <w:bCs/>
        </w:rPr>
        <w:t>)</w:t>
      </w:r>
    </w:p>
    <w:tbl>
      <w:tblPr>
        <w:tblStyle w:val="PlainTable51"/>
        <w:tblW w:w="5000" w:type="pct"/>
        <w:tblBorders>
          <w:top w:val="dotted" w:sz="4" w:space="0" w:color="auto"/>
          <w:bottom w:val="dotted" w:sz="4" w:space="0" w:color="auto"/>
          <w:insideV w:val="single" w:sz="4" w:space="0" w:color="7F7F7F"/>
        </w:tblBorders>
        <w:tblLook w:val="0480" w:firstRow="0" w:lastRow="0" w:firstColumn="1" w:lastColumn="0" w:noHBand="0" w:noVBand="1"/>
      </w:tblPr>
      <w:tblGrid>
        <w:gridCol w:w="1166"/>
        <w:gridCol w:w="8194"/>
      </w:tblGrid>
      <w:tr w:rsidR="00092628" w:rsidRPr="00092628" w14:paraId="02DB7E6C" w14:textId="77777777" w:rsidTr="443D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49CB55FE" w14:textId="59FCD0BD" w:rsidR="00092628" w:rsidRPr="00092628" w:rsidRDefault="002474DA" w:rsidP="00092628">
            <w:pPr>
              <w:contextualSpacing/>
            </w:pPr>
            <w:r>
              <w:t>To</w:t>
            </w:r>
          </w:p>
        </w:tc>
        <w:tc>
          <w:tcPr>
            <w:tcW w:w="4377" w:type="pct"/>
          </w:tcPr>
          <w:p w14:paraId="18AEBED4" w14:textId="78055BA4" w:rsidR="00092628" w:rsidRPr="00092628" w:rsidRDefault="3E299ECF" w:rsidP="0009262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UCC</w:t>
            </w:r>
          </w:p>
        </w:tc>
      </w:tr>
      <w:tr w:rsidR="002474DA" w:rsidRPr="00092628" w14:paraId="3DCAD579" w14:textId="77777777" w:rsidTr="443D3475">
        <w:tc>
          <w:tcPr>
            <w:cnfStyle w:val="001000000000" w:firstRow="0" w:lastRow="0" w:firstColumn="1" w:lastColumn="0" w:oddVBand="0" w:evenVBand="0" w:oddHBand="0" w:evenHBand="0" w:firstRowFirstColumn="0" w:firstRowLastColumn="0" w:lastRowFirstColumn="0" w:lastRowLastColumn="0"/>
            <w:tcW w:w="623" w:type="pct"/>
          </w:tcPr>
          <w:p w14:paraId="5DC3275E" w14:textId="0CBD73E0" w:rsidR="002474DA" w:rsidRPr="00092628" w:rsidRDefault="002474DA" w:rsidP="00092628">
            <w:pPr>
              <w:contextualSpacing/>
            </w:pPr>
            <w:r>
              <w:t>From</w:t>
            </w:r>
          </w:p>
        </w:tc>
        <w:tc>
          <w:tcPr>
            <w:tcW w:w="4377" w:type="pct"/>
          </w:tcPr>
          <w:p w14:paraId="22CA166B" w14:textId="6BC6FD01" w:rsidR="002474DA" w:rsidRPr="00092628" w:rsidRDefault="67E5BF1D" w:rsidP="0009262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443D3475">
              <w:rPr>
                <w:rFonts w:ascii="Times New Roman" w:eastAsia="Times New Roman" w:hAnsi="Times New Roman" w:cs="Times New Roman"/>
              </w:rPr>
              <w:t xml:space="preserve">Todd </w:t>
            </w:r>
            <w:proofErr w:type="spellStart"/>
            <w:r w:rsidRPr="443D3475">
              <w:rPr>
                <w:rFonts w:ascii="Times New Roman" w:eastAsia="Times New Roman" w:hAnsi="Times New Roman" w:cs="Times New Roman"/>
              </w:rPr>
              <w:t>Eisworth</w:t>
            </w:r>
            <w:proofErr w:type="spellEnd"/>
            <w:r w:rsidRPr="443D3475">
              <w:rPr>
                <w:rFonts w:ascii="Times New Roman" w:eastAsia="Times New Roman" w:hAnsi="Times New Roman" w:cs="Times New Roman"/>
              </w:rPr>
              <w:t>, Chair</w:t>
            </w:r>
          </w:p>
        </w:tc>
      </w:tr>
      <w:tr w:rsidR="00092628" w:rsidRPr="00092628" w14:paraId="05D6EADD" w14:textId="77777777" w:rsidTr="443D34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tcPr>
          <w:p w14:paraId="398D9993" w14:textId="77777777" w:rsidR="00092628" w:rsidRPr="00092628" w:rsidRDefault="00092628" w:rsidP="00092628">
            <w:pPr>
              <w:contextualSpacing/>
            </w:pPr>
            <w:r w:rsidRPr="00092628">
              <w:t>Subject</w:t>
            </w:r>
          </w:p>
        </w:tc>
        <w:tc>
          <w:tcPr>
            <w:tcW w:w="4377" w:type="pct"/>
          </w:tcPr>
          <w:p w14:paraId="084979EB" w14:textId="429AE15B" w:rsidR="00092628" w:rsidRPr="00092628" w:rsidRDefault="00815DE6" w:rsidP="0009262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4D4E4896">
              <w:rPr>
                <w:rFonts w:ascii="Times New Roman" w:eastAsia="Times New Roman" w:hAnsi="Times New Roman" w:cs="Times New Roman"/>
              </w:rPr>
              <w:t xml:space="preserve">Quantitative Reasoning Courses in </w:t>
            </w:r>
            <w:bookmarkStart w:id="1" w:name="_Int_gQIJIQ1F"/>
            <w:r w:rsidRPr="4D4E4896">
              <w:rPr>
                <w:rFonts w:ascii="Times New Roman" w:eastAsia="Times New Roman" w:hAnsi="Times New Roman" w:cs="Times New Roman"/>
              </w:rPr>
              <w:t>BRICKS</w:t>
            </w:r>
            <w:bookmarkEnd w:id="1"/>
          </w:p>
        </w:tc>
      </w:tr>
      <w:tr w:rsidR="00092628" w:rsidRPr="00092628" w14:paraId="62EE30A5" w14:textId="77777777" w:rsidTr="443D3475">
        <w:tc>
          <w:tcPr>
            <w:cnfStyle w:val="001000000000" w:firstRow="0" w:lastRow="0" w:firstColumn="1" w:lastColumn="0" w:oddVBand="0" w:evenVBand="0" w:oddHBand="0" w:evenHBand="0" w:firstRowFirstColumn="0" w:firstRowLastColumn="0" w:lastRowFirstColumn="0" w:lastRowLastColumn="0"/>
            <w:tcW w:w="623" w:type="pct"/>
          </w:tcPr>
          <w:p w14:paraId="20FCE67F" w14:textId="77777777" w:rsidR="00092628" w:rsidRPr="00092628" w:rsidRDefault="00092628" w:rsidP="00092628">
            <w:pPr>
              <w:contextualSpacing/>
            </w:pPr>
            <w:r w:rsidRPr="00092628">
              <w:t>Date</w:t>
            </w:r>
          </w:p>
        </w:tc>
        <w:tc>
          <w:tcPr>
            <w:tcW w:w="4377" w:type="pct"/>
          </w:tcPr>
          <w:p w14:paraId="2123512F" w14:textId="60E4CF22" w:rsidR="00092628" w:rsidRPr="00092628" w:rsidRDefault="005F06C2" w:rsidP="00092628">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Novem</w:t>
            </w:r>
            <w:r w:rsidR="7F768083" w:rsidRPr="443D3475">
              <w:rPr>
                <w:rFonts w:ascii="Times New Roman" w:eastAsia="Times New Roman" w:hAnsi="Times New Roman" w:cs="Times New Roman"/>
              </w:rPr>
              <w:t xml:space="preserve">ber </w:t>
            </w:r>
            <w:r>
              <w:rPr>
                <w:rFonts w:ascii="Times New Roman" w:eastAsia="Times New Roman" w:hAnsi="Times New Roman" w:cs="Times New Roman"/>
              </w:rPr>
              <w:t>8</w:t>
            </w:r>
            <w:r w:rsidR="7F768083" w:rsidRPr="443D3475">
              <w:rPr>
                <w:rFonts w:ascii="Times New Roman" w:eastAsia="Times New Roman" w:hAnsi="Times New Roman" w:cs="Times New Roman"/>
              </w:rPr>
              <w:t xml:space="preserve">, </w:t>
            </w:r>
            <w:proofErr w:type="gramStart"/>
            <w:r w:rsidR="7F768083" w:rsidRPr="443D3475">
              <w:rPr>
                <w:rFonts w:ascii="Times New Roman" w:eastAsia="Times New Roman" w:hAnsi="Times New Roman" w:cs="Times New Roman"/>
              </w:rPr>
              <w:t>2022</w:t>
            </w:r>
            <w:proofErr w:type="gramEnd"/>
            <w:r w:rsidR="00524EBF">
              <w:rPr>
                <w:rFonts w:ascii="Times New Roman" w:eastAsia="Times New Roman" w:hAnsi="Times New Roman" w:cs="Times New Roman"/>
              </w:rPr>
              <w:t xml:space="preserve"> </w:t>
            </w:r>
          </w:p>
        </w:tc>
      </w:tr>
    </w:tbl>
    <w:p w14:paraId="66CD0919" w14:textId="7C58B698" w:rsidR="00092628" w:rsidRDefault="00092628" w:rsidP="00092628">
      <w:pPr>
        <w:spacing w:after="0" w:line="240" w:lineRule="auto"/>
        <w:rPr>
          <w:rFonts w:ascii="Times New Roman" w:eastAsia="Times New Roman" w:hAnsi="Times New Roman" w:cs="Times New Roman"/>
        </w:rPr>
      </w:pPr>
    </w:p>
    <w:p w14:paraId="38568B25" w14:textId="290D333F" w:rsidR="00092628" w:rsidRPr="00092628" w:rsidRDefault="002474DA"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This memo</w:t>
      </w:r>
      <w:r w:rsidR="008269BB" w:rsidRPr="18F77FEA">
        <w:rPr>
          <w:rFonts w:ascii="Times New Roman" w:eastAsia="Times New Roman" w:hAnsi="Times New Roman" w:cs="Times New Roman"/>
          <w:sz w:val="20"/>
          <w:szCs w:val="20"/>
        </w:rPr>
        <w:t xml:space="preserve"> documents the effect on BRICKS of recent changes in the way in which the state handles quantitative courses in general </w:t>
      </w:r>
      <w:r w:rsidR="00930809" w:rsidRPr="18F77FEA">
        <w:rPr>
          <w:rFonts w:ascii="Times New Roman" w:eastAsia="Times New Roman" w:hAnsi="Times New Roman" w:cs="Times New Roman"/>
          <w:sz w:val="20"/>
          <w:szCs w:val="20"/>
        </w:rPr>
        <w:t>education</w:t>
      </w:r>
      <w:r w:rsidR="00FF58B6" w:rsidRPr="18F77FEA">
        <w:rPr>
          <w:rFonts w:ascii="Times New Roman" w:eastAsia="Times New Roman" w:hAnsi="Times New Roman" w:cs="Times New Roman"/>
          <w:sz w:val="20"/>
          <w:szCs w:val="20"/>
        </w:rPr>
        <w:t xml:space="preserve">. It </w:t>
      </w:r>
      <w:r w:rsidR="00340E85" w:rsidRPr="18F77FEA">
        <w:rPr>
          <w:rFonts w:ascii="Times New Roman" w:eastAsia="Times New Roman" w:hAnsi="Times New Roman" w:cs="Times New Roman"/>
          <w:sz w:val="20"/>
          <w:szCs w:val="20"/>
        </w:rPr>
        <w:t>also proposes</w:t>
      </w:r>
      <w:r w:rsidR="00930809" w:rsidRPr="18F77FEA">
        <w:rPr>
          <w:rFonts w:ascii="Times New Roman" w:eastAsia="Times New Roman" w:hAnsi="Times New Roman" w:cs="Times New Roman"/>
          <w:sz w:val="20"/>
          <w:szCs w:val="20"/>
        </w:rPr>
        <w:t xml:space="preserve"> some policy changes to address the problems that have arisen. </w:t>
      </w:r>
      <w:r w:rsidR="005E0E2F" w:rsidRPr="18F77FEA">
        <w:rPr>
          <w:rFonts w:ascii="Times New Roman" w:eastAsia="Times New Roman" w:hAnsi="Times New Roman" w:cs="Times New Roman"/>
          <w:sz w:val="20"/>
          <w:szCs w:val="20"/>
        </w:rPr>
        <w:t>The</w:t>
      </w:r>
      <w:r w:rsidR="00024D7F" w:rsidRPr="18F77FEA">
        <w:rPr>
          <w:rFonts w:ascii="Times New Roman" w:eastAsia="Times New Roman" w:hAnsi="Times New Roman" w:cs="Times New Roman"/>
          <w:sz w:val="20"/>
          <w:szCs w:val="20"/>
        </w:rPr>
        <w:t xml:space="preserve"> goal </w:t>
      </w:r>
      <w:r w:rsidRPr="18F77FEA">
        <w:rPr>
          <w:rFonts w:ascii="Times New Roman" w:eastAsia="Times New Roman" w:hAnsi="Times New Roman" w:cs="Times New Roman"/>
          <w:sz w:val="20"/>
          <w:szCs w:val="20"/>
        </w:rPr>
        <w:t>is to construct a framework that will</w:t>
      </w:r>
      <w:r w:rsidR="00024D7F" w:rsidRPr="18F77FEA">
        <w:rPr>
          <w:rFonts w:ascii="Times New Roman" w:eastAsia="Times New Roman" w:hAnsi="Times New Roman" w:cs="Times New Roman"/>
          <w:sz w:val="20"/>
          <w:szCs w:val="20"/>
        </w:rPr>
        <w:t xml:space="preserve"> reconcile our </w:t>
      </w:r>
      <w:r w:rsidRPr="18F77FEA">
        <w:rPr>
          <w:rFonts w:ascii="Times New Roman" w:eastAsia="Times New Roman" w:hAnsi="Times New Roman" w:cs="Times New Roman"/>
          <w:sz w:val="20"/>
          <w:szCs w:val="20"/>
        </w:rPr>
        <w:t xml:space="preserve">current </w:t>
      </w:r>
      <w:r w:rsidR="00024D7F" w:rsidRPr="18F77FEA">
        <w:rPr>
          <w:rFonts w:ascii="Times New Roman" w:eastAsia="Times New Roman" w:hAnsi="Times New Roman" w:cs="Times New Roman"/>
          <w:sz w:val="20"/>
          <w:szCs w:val="20"/>
        </w:rPr>
        <w:t xml:space="preserve">practice concerning quantitative reasoning courses with </w:t>
      </w:r>
      <w:r w:rsidR="003C4E30" w:rsidRPr="18F77FEA">
        <w:rPr>
          <w:rFonts w:ascii="Times New Roman" w:eastAsia="Times New Roman" w:hAnsi="Times New Roman" w:cs="Times New Roman"/>
          <w:sz w:val="20"/>
          <w:szCs w:val="20"/>
        </w:rPr>
        <w:t>the Ohio Department of Higher Education (ODHE) implementation of Ohio Transfer 36 (OT-36).</w:t>
      </w:r>
    </w:p>
    <w:p w14:paraId="31871357" w14:textId="35238188" w:rsidR="00427465" w:rsidRPr="00427465" w:rsidRDefault="00092628" w:rsidP="5394BEB3">
      <w:pPr>
        <w:pStyle w:val="Heading1"/>
        <w:spacing w:after="120"/>
        <w:jc w:val="both"/>
        <w:rPr>
          <w:rFonts w:asciiTheme="minorHAnsi" w:eastAsiaTheme="minorEastAsia" w:hAnsiTheme="minorHAnsi" w:cstheme="minorBidi"/>
          <w:b/>
          <w:bCs/>
          <w:color w:val="006848"/>
          <w:sz w:val="28"/>
          <w:szCs w:val="28"/>
        </w:rPr>
      </w:pPr>
      <w:r w:rsidRPr="5394BEB3">
        <w:rPr>
          <w:rStyle w:val="Strong"/>
          <w:rFonts w:asciiTheme="minorHAnsi" w:eastAsiaTheme="minorEastAsia" w:hAnsiTheme="minorHAnsi" w:cstheme="minorBidi"/>
          <w:color w:val="006848"/>
          <w:sz w:val="28"/>
          <w:szCs w:val="28"/>
        </w:rPr>
        <w:t>Background</w:t>
      </w:r>
    </w:p>
    <w:p w14:paraId="1B77A90A" w14:textId="00C14D10" w:rsidR="003C4E30" w:rsidRDefault="00815DE6"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reasoning</w:t>
      </w:r>
      <w:r w:rsidR="003C4E30" w:rsidRPr="18F77FEA">
        <w:rPr>
          <w:rFonts w:ascii="Times New Roman" w:eastAsia="Times New Roman" w:hAnsi="Times New Roman" w:cs="Times New Roman"/>
          <w:sz w:val="20"/>
          <w:szCs w:val="20"/>
        </w:rPr>
        <w:t xml:space="preserve"> </w:t>
      </w:r>
      <w:r w:rsidRPr="18F77FEA">
        <w:rPr>
          <w:rFonts w:ascii="Times New Roman" w:eastAsia="Times New Roman" w:hAnsi="Times New Roman" w:cs="Times New Roman"/>
          <w:sz w:val="20"/>
          <w:szCs w:val="20"/>
        </w:rPr>
        <w:t>is one of the Common Goals in place for all undergraduate degrees from Ohio University</w:t>
      </w:r>
      <w:r w:rsidR="003F0251" w:rsidRPr="18F77FEA">
        <w:rPr>
          <w:rFonts w:ascii="Times New Roman" w:eastAsia="Times New Roman" w:hAnsi="Times New Roman" w:cs="Times New Roman"/>
          <w:sz w:val="20"/>
          <w:szCs w:val="20"/>
        </w:rPr>
        <w:t>, and c</w:t>
      </w:r>
      <w:r w:rsidRPr="18F77FEA">
        <w:rPr>
          <w:rFonts w:ascii="Times New Roman" w:eastAsia="Times New Roman" w:hAnsi="Times New Roman" w:cs="Times New Roman"/>
          <w:sz w:val="20"/>
          <w:szCs w:val="20"/>
        </w:rPr>
        <w:t>ourses associated with this common goal appear in BRICKS in two places:  Foundations Quantitative Reasoning (FQR) and Arches Constructed World (ACSW)</w:t>
      </w:r>
      <w:bookmarkStart w:id="2" w:name="_Int_UC7gIK5G"/>
      <w:r w:rsidRPr="18F77FEA">
        <w:rPr>
          <w:rFonts w:ascii="Times New Roman" w:eastAsia="Times New Roman" w:hAnsi="Times New Roman" w:cs="Times New Roman"/>
          <w:sz w:val="20"/>
          <w:szCs w:val="20"/>
        </w:rPr>
        <w:t>.</w:t>
      </w:r>
      <w:r w:rsidR="003C4E30" w:rsidRPr="18F77FEA">
        <w:rPr>
          <w:rFonts w:ascii="Times New Roman" w:eastAsia="Times New Roman" w:hAnsi="Times New Roman" w:cs="Times New Roman"/>
          <w:sz w:val="20"/>
          <w:szCs w:val="20"/>
        </w:rPr>
        <w:t xml:space="preserve">  </w:t>
      </w:r>
      <w:bookmarkEnd w:id="2"/>
      <w:r w:rsidR="003C4E30" w:rsidRPr="18F77FEA">
        <w:rPr>
          <w:rFonts w:ascii="Times New Roman" w:eastAsia="Times New Roman" w:hAnsi="Times New Roman" w:cs="Times New Roman"/>
          <w:sz w:val="20"/>
          <w:szCs w:val="20"/>
        </w:rPr>
        <w:t xml:space="preserve"> Our current policy requires that courses </w:t>
      </w:r>
      <w:r w:rsidR="002474DA" w:rsidRPr="18F77FEA">
        <w:rPr>
          <w:rFonts w:ascii="Times New Roman" w:eastAsia="Times New Roman" w:hAnsi="Times New Roman" w:cs="Times New Roman"/>
          <w:sz w:val="20"/>
          <w:szCs w:val="20"/>
        </w:rPr>
        <w:t>fulfilling the Quantitative Reasoning requirement in BRICKS must be approved by</w:t>
      </w:r>
      <w:r w:rsidR="003C4E30" w:rsidRPr="18F77FEA">
        <w:rPr>
          <w:rFonts w:ascii="Times New Roman" w:eastAsia="Times New Roman" w:hAnsi="Times New Roman" w:cs="Times New Roman"/>
          <w:sz w:val="20"/>
          <w:szCs w:val="20"/>
        </w:rPr>
        <w:t xml:space="preserve"> OT-3</w:t>
      </w:r>
      <w:r w:rsidR="003F0251" w:rsidRPr="18F77FEA">
        <w:rPr>
          <w:rFonts w:ascii="Times New Roman" w:eastAsia="Times New Roman" w:hAnsi="Times New Roman" w:cs="Times New Roman"/>
          <w:sz w:val="20"/>
          <w:szCs w:val="20"/>
        </w:rPr>
        <w:t>6, but r</w:t>
      </w:r>
      <w:r w:rsidR="008269BB" w:rsidRPr="18F77FEA">
        <w:rPr>
          <w:rFonts w:ascii="Times New Roman" w:eastAsia="Times New Roman" w:hAnsi="Times New Roman" w:cs="Times New Roman"/>
          <w:sz w:val="20"/>
          <w:szCs w:val="20"/>
        </w:rPr>
        <w:t xml:space="preserve">ecent changes at the state level </w:t>
      </w:r>
      <w:r w:rsidR="003F0251" w:rsidRPr="18F77FEA">
        <w:rPr>
          <w:rFonts w:ascii="Times New Roman" w:eastAsia="Times New Roman" w:hAnsi="Times New Roman" w:cs="Times New Roman"/>
          <w:sz w:val="20"/>
          <w:szCs w:val="20"/>
        </w:rPr>
        <w:t xml:space="preserve">have </w:t>
      </w:r>
      <w:r w:rsidR="61B18F60" w:rsidRPr="18F77FEA">
        <w:rPr>
          <w:rFonts w:ascii="Times New Roman" w:eastAsia="Times New Roman" w:hAnsi="Times New Roman" w:cs="Times New Roman"/>
          <w:sz w:val="20"/>
          <w:szCs w:val="20"/>
        </w:rPr>
        <w:t>made this alignment more difficult.</w:t>
      </w:r>
      <w:r w:rsidR="003F0251" w:rsidRPr="18F77FEA">
        <w:rPr>
          <w:rFonts w:ascii="Times New Roman" w:eastAsia="Times New Roman" w:hAnsi="Times New Roman" w:cs="Times New Roman"/>
          <w:sz w:val="20"/>
          <w:szCs w:val="20"/>
        </w:rPr>
        <w:t xml:space="preserve"> </w:t>
      </w:r>
    </w:p>
    <w:p w14:paraId="10CE514F" w14:textId="56120662" w:rsidR="00427465" w:rsidRPr="00427465" w:rsidRDefault="00427465" w:rsidP="00FF58B6">
      <w:pPr>
        <w:pStyle w:val="Heading2"/>
        <w:spacing w:before="60" w:after="60"/>
        <w:rPr>
          <w:rFonts w:eastAsia="Times New Roman"/>
          <w:color w:val="006848"/>
          <w:sz w:val="24"/>
          <w:szCs w:val="24"/>
        </w:rPr>
      </w:pPr>
      <w:r w:rsidRPr="00427465">
        <w:rPr>
          <w:rFonts w:eastAsia="Times New Roman"/>
          <w:color w:val="006848"/>
          <w:sz w:val="22"/>
          <w:szCs w:val="22"/>
        </w:rPr>
        <w:t>ODHE Constraints</w:t>
      </w:r>
    </w:p>
    <w:p w14:paraId="655550E9" w14:textId="7AAE065C" w:rsidR="00283487" w:rsidRDefault="29D25CD2"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Math, Stats, and Logic (MSL) portion of OT-36 is structured differently than </w:t>
      </w:r>
      <w:r w:rsidR="7DB748EE" w:rsidRPr="18F77FEA">
        <w:rPr>
          <w:rFonts w:ascii="Times New Roman" w:eastAsia="Times New Roman" w:hAnsi="Times New Roman" w:cs="Times New Roman"/>
          <w:sz w:val="20"/>
          <w:szCs w:val="20"/>
        </w:rPr>
        <w:t xml:space="preserve">the </w:t>
      </w:r>
      <w:r w:rsidRPr="18F77FEA">
        <w:rPr>
          <w:rFonts w:ascii="Times New Roman" w:eastAsia="Times New Roman" w:hAnsi="Times New Roman" w:cs="Times New Roman"/>
          <w:sz w:val="20"/>
          <w:szCs w:val="20"/>
        </w:rPr>
        <w:t>other disciplinary area</w:t>
      </w:r>
      <w:r w:rsidR="7DB748EE" w:rsidRPr="18F77FEA">
        <w:rPr>
          <w:rFonts w:ascii="Times New Roman" w:eastAsia="Times New Roman" w:hAnsi="Times New Roman" w:cs="Times New Roman"/>
          <w:sz w:val="20"/>
          <w:szCs w:val="20"/>
        </w:rPr>
        <w:t>s</w:t>
      </w:r>
      <w:bookmarkStart w:id="3" w:name="_Int_MJZYKDI4"/>
      <w:r w:rsidRPr="18F77FEA">
        <w:rPr>
          <w:rFonts w:ascii="Times New Roman" w:eastAsia="Times New Roman" w:hAnsi="Times New Roman" w:cs="Times New Roman"/>
          <w:sz w:val="20"/>
          <w:szCs w:val="20"/>
        </w:rPr>
        <w:t xml:space="preserve">.  </w:t>
      </w:r>
      <w:bookmarkEnd w:id="3"/>
      <w:r w:rsidR="55AFFBCE" w:rsidRPr="18F77FEA">
        <w:rPr>
          <w:rFonts w:ascii="Times New Roman" w:eastAsia="Times New Roman" w:hAnsi="Times New Roman" w:cs="Times New Roman"/>
          <w:sz w:val="20"/>
          <w:szCs w:val="20"/>
        </w:rPr>
        <w:t xml:space="preserve"> Prior to May 2021, the category consisted of a generic category (TMMSL) together with several other narrowly prescribed categories</w:t>
      </w:r>
      <w:r w:rsidR="7114F143" w:rsidRPr="18F77FEA">
        <w:rPr>
          <w:rFonts w:ascii="Times New Roman" w:eastAsia="Times New Roman" w:hAnsi="Times New Roman" w:cs="Times New Roman"/>
          <w:sz w:val="20"/>
          <w:szCs w:val="20"/>
        </w:rPr>
        <w:t xml:space="preserve"> that </w:t>
      </w:r>
      <w:r w:rsidR="23AFD19C" w:rsidRPr="18F77FEA">
        <w:rPr>
          <w:rFonts w:ascii="Times New Roman" w:eastAsia="Times New Roman" w:hAnsi="Times New Roman" w:cs="Times New Roman"/>
          <w:sz w:val="20"/>
          <w:szCs w:val="20"/>
        </w:rPr>
        <w:t xml:space="preserve">are </w:t>
      </w:r>
      <w:r w:rsidR="5ACA186E" w:rsidRPr="18F77FEA">
        <w:rPr>
          <w:rFonts w:ascii="Times New Roman" w:eastAsia="Times New Roman" w:hAnsi="Times New Roman" w:cs="Times New Roman"/>
          <w:sz w:val="20"/>
          <w:szCs w:val="20"/>
        </w:rPr>
        <w:t>analogous to</w:t>
      </w:r>
      <w:r w:rsidR="23AFD19C" w:rsidRPr="18F77FEA">
        <w:rPr>
          <w:rFonts w:ascii="Times New Roman" w:eastAsia="Times New Roman" w:hAnsi="Times New Roman" w:cs="Times New Roman"/>
          <w:sz w:val="20"/>
          <w:szCs w:val="20"/>
        </w:rPr>
        <w:t xml:space="preserve"> </w:t>
      </w:r>
      <w:r w:rsidR="7114F143" w:rsidRPr="18F77FEA">
        <w:rPr>
          <w:rFonts w:ascii="Times New Roman" w:eastAsia="Times New Roman" w:hAnsi="Times New Roman" w:cs="Times New Roman"/>
          <w:sz w:val="20"/>
          <w:szCs w:val="20"/>
        </w:rPr>
        <w:t>the Transfer Assurance Guidelines (TAGs) in place for other disciplines</w:t>
      </w:r>
      <w:bookmarkStart w:id="4" w:name="_Int_E1Esmaoo"/>
      <w:r w:rsidR="7114F143" w:rsidRPr="18F77FEA">
        <w:rPr>
          <w:rFonts w:ascii="Times New Roman" w:eastAsia="Times New Roman" w:hAnsi="Times New Roman" w:cs="Times New Roman"/>
          <w:sz w:val="20"/>
          <w:szCs w:val="20"/>
        </w:rPr>
        <w:t xml:space="preserve">. </w:t>
      </w:r>
      <w:r w:rsidR="2F9B4C58" w:rsidRPr="18F77FEA">
        <w:rPr>
          <w:rFonts w:ascii="Times New Roman" w:eastAsia="Times New Roman" w:hAnsi="Times New Roman" w:cs="Times New Roman"/>
          <w:sz w:val="20"/>
          <w:szCs w:val="20"/>
        </w:rPr>
        <w:t xml:space="preserve"> </w:t>
      </w:r>
      <w:bookmarkEnd w:id="4"/>
      <w:r w:rsidR="2F9B4C58" w:rsidRPr="18F77FEA">
        <w:rPr>
          <w:rFonts w:ascii="Times New Roman" w:eastAsia="Times New Roman" w:hAnsi="Times New Roman" w:cs="Times New Roman"/>
          <w:sz w:val="20"/>
          <w:szCs w:val="20"/>
        </w:rPr>
        <w:t>Th</w:t>
      </w:r>
      <w:r w:rsidR="23AFD19C" w:rsidRPr="18F77FEA">
        <w:rPr>
          <w:rFonts w:ascii="Times New Roman" w:eastAsia="Times New Roman" w:hAnsi="Times New Roman" w:cs="Times New Roman"/>
          <w:sz w:val="20"/>
          <w:szCs w:val="20"/>
        </w:rPr>
        <w:t xml:space="preserve">is conflation between </w:t>
      </w:r>
      <w:r w:rsidR="2F9B4C58" w:rsidRPr="18F77FEA">
        <w:rPr>
          <w:rFonts w:ascii="Times New Roman" w:eastAsia="Times New Roman" w:hAnsi="Times New Roman" w:cs="Times New Roman"/>
          <w:sz w:val="20"/>
          <w:szCs w:val="20"/>
        </w:rPr>
        <w:t>TAGS and OT-</w:t>
      </w:r>
      <w:r w:rsidR="544F6151" w:rsidRPr="18F77FEA">
        <w:rPr>
          <w:rFonts w:ascii="Times New Roman" w:eastAsia="Times New Roman" w:hAnsi="Times New Roman" w:cs="Times New Roman"/>
          <w:sz w:val="20"/>
          <w:szCs w:val="20"/>
        </w:rPr>
        <w:t xml:space="preserve">36 </w:t>
      </w:r>
      <w:r w:rsidR="23AFD19C" w:rsidRPr="18F77FEA">
        <w:rPr>
          <w:rFonts w:ascii="Times New Roman" w:eastAsia="Times New Roman" w:hAnsi="Times New Roman" w:cs="Times New Roman"/>
          <w:sz w:val="20"/>
          <w:szCs w:val="20"/>
        </w:rPr>
        <w:t xml:space="preserve">at the state level </w:t>
      </w:r>
      <w:r w:rsidR="544F6151" w:rsidRPr="18F77FEA">
        <w:rPr>
          <w:rFonts w:ascii="Times New Roman" w:eastAsia="Times New Roman" w:hAnsi="Times New Roman" w:cs="Times New Roman"/>
          <w:sz w:val="20"/>
          <w:szCs w:val="20"/>
        </w:rPr>
        <w:t>has</w:t>
      </w:r>
      <w:r w:rsidR="2F9B4C58" w:rsidRPr="18F77FEA">
        <w:rPr>
          <w:rFonts w:ascii="Times New Roman" w:eastAsia="Times New Roman" w:hAnsi="Times New Roman" w:cs="Times New Roman"/>
          <w:sz w:val="20"/>
          <w:szCs w:val="20"/>
        </w:rPr>
        <w:t xml:space="preserve"> the following </w:t>
      </w:r>
      <w:r w:rsidR="65A630FD" w:rsidRPr="18F77FEA">
        <w:rPr>
          <w:rFonts w:ascii="Times New Roman" w:eastAsia="Times New Roman" w:hAnsi="Times New Roman" w:cs="Times New Roman"/>
          <w:sz w:val="20"/>
          <w:szCs w:val="20"/>
        </w:rPr>
        <w:t>consequence</w:t>
      </w:r>
      <w:r w:rsidR="2F9B4C58" w:rsidRPr="18F77FEA">
        <w:rPr>
          <w:rFonts w:ascii="Times New Roman" w:eastAsia="Times New Roman" w:hAnsi="Times New Roman" w:cs="Times New Roman"/>
          <w:sz w:val="20"/>
          <w:szCs w:val="20"/>
        </w:rPr>
        <w:t>:</w:t>
      </w:r>
    </w:p>
    <w:p w14:paraId="1056E181" w14:textId="7015C843" w:rsidR="00283487" w:rsidRDefault="00283487" w:rsidP="18F77FEA">
      <w:pPr>
        <w:spacing w:after="0" w:line="240" w:lineRule="auto"/>
        <w:jc w:val="both"/>
        <w:rPr>
          <w:rFonts w:ascii="Times New Roman" w:eastAsia="Times New Roman" w:hAnsi="Times New Roman" w:cs="Times New Roman"/>
          <w:sz w:val="20"/>
          <w:szCs w:val="20"/>
        </w:rPr>
      </w:pPr>
    </w:p>
    <w:p w14:paraId="0EB09E3D" w14:textId="28FECA8D" w:rsidR="00283487" w:rsidRDefault="00283487" w:rsidP="18F77FEA">
      <w:pPr>
        <w:pStyle w:val="ListParagraph"/>
        <w:numPr>
          <w:ilvl w:val="0"/>
          <w:numId w:val="15"/>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Quantitative OHIO courses with OT-36 approval in the same </w:t>
      </w:r>
      <w:r w:rsidR="000167B9" w:rsidRPr="18F77FEA">
        <w:rPr>
          <w:rFonts w:ascii="Times New Roman" w:eastAsia="Times New Roman" w:hAnsi="Times New Roman" w:cs="Times New Roman"/>
          <w:sz w:val="20"/>
          <w:szCs w:val="20"/>
        </w:rPr>
        <w:t xml:space="preserve">narrow </w:t>
      </w:r>
      <w:r w:rsidRPr="18F77FEA">
        <w:rPr>
          <w:rFonts w:ascii="Times New Roman" w:eastAsia="Times New Roman" w:hAnsi="Times New Roman" w:cs="Times New Roman"/>
          <w:sz w:val="20"/>
          <w:szCs w:val="20"/>
        </w:rPr>
        <w:t xml:space="preserve">MSL category MUST be treated as equivalent by our institution. </w:t>
      </w:r>
      <w:r w:rsidR="000167B9" w:rsidRPr="18F77FEA">
        <w:rPr>
          <w:rFonts w:ascii="Times New Roman" w:eastAsia="Times New Roman" w:hAnsi="Times New Roman" w:cs="Times New Roman"/>
          <w:sz w:val="20"/>
          <w:szCs w:val="20"/>
        </w:rPr>
        <w:t>Thus, PSY 1110 and MATH 1500 (both approved in the category TMM010 Basic Stats) must be treated as equivalent courses at OHIO.</w:t>
      </w:r>
    </w:p>
    <w:p w14:paraId="6739306C" w14:textId="51AD43BC" w:rsidR="00D73A27" w:rsidRDefault="00D73A27" w:rsidP="18F77FEA">
      <w:pPr>
        <w:spacing w:after="0" w:line="240" w:lineRule="auto"/>
        <w:jc w:val="both"/>
        <w:rPr>
          <w:rFonts w:ascii="Times New Roman" w:eastAsia="Times New Roman" w:hAnsi="Times New Roman" w:cs="Times New Roman"/>
          <w:sz w:val="20"/>
          <w:szCs w:val="20"/>
        </w:rPr>
      </w:pPr>
    </w:p>
    <w:p w14:paraId="7237BD3C" w14:textId="11DECC7C" w:rsidR="00905B8B" w:rsidRDefault="23AFD19C" w:rsidP="18F77FEA">
      <w:p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This restriction is not in place for the </w:t>
      </w:r>
      <w:r w:rsidR="59DA4271" w:rsidRPr="18F77FEA">
        <w:rPr>
          <w:rFonts w:ascii="Times New Roman" w:eastAsia="Times New Roman" w:hAnsi="Times New Roman" w:cs="Times New Roman"/>
          <w:sz w:val="20"/>
          <w:szCs w:val="20"/>
        </w:rPr>
        <w:t xml:space="preserve">so-called </w:t>
      </w:r>
      <w:r w:rsidRPr="18F77FEA">
        <w:rPr>
          <w:rFonts w:ascii="Times New Roman" w:eastAsia="Times New Roman" w:hAnsi="Times New Roman" w:cs="Times New Roman"/>
          <w:sz w:val="20"/>
          <w:szCs w:val="20"/>
        </w:rPr>
        <w:t>generic category of Math/Stats/Logic courses in OT-36</w:t>
      </w:r>
      <w:r w:rsidR="59DA4271" w:rsidRPr="18F77FEA">
        <w:rPr>
          <w:rFonts w:ascii="Times New Roman" w:eastAsia="Times New Roman" w:hAnsi="Times New Roman" w:cs="Times New Roman"/>
          <w:sz w:val="20"/>
          <w:szCs w:val="20"/>
        </w:rPr>
        <w:t xml:space="preserve"> (denoted TMMSL)</w:t>
      </w:r>
      <w:r w:rsidRPr="18F77FEA">
        <w:rPr>
          <w:rFonts w:ascii="Times New Roman" w:eastAsia="Times New Roman" w:hAnsi="Times New Roman" w:cs="Times New Roman"/>
          <w:sz w:val="20"/>
          <w:szCs w:val="20"/>
        </w:rPr>
        <w:t xml:space="preserve">, and </w:t>
      </w:r>
      <w:r w:rsidR="65A630FD" w:rsidRPr="18F77FEA">
        <w:rPr>
          <w:rFonts w:ascii="Times New Roman" w:eastAsia="Times New Roman" w:hAnsi="Times New Roman" w:cs="Times New Roman"/>
          <w:sz w:val="20"/>
          <w:szCs w:val="20"/>
        </w:rPr>
        <w:t xml:space="preserve">so </w:t>
      </w:r>
      <w:r w:rsidRPr="18F77FEA">
        <w:rPr>
          <w:rFonts w:ascii="Times New Roman" w:eastAsia="Times New Roman" w:hAnsi="Times New Roman" w:cs="Times New Roman"/>
          <w:sz w:val="20"/>
          <w:szCs w:val="20"/>
        </w:rPr>
        <w:t xml:space="preserve">OHIO has several </w:t>
      </w:r>
      <w:r w:rsidR="59DA4271" w:rsidRPr="18F77FEA">
        <w:rPr>
          <w:rFonts w:ascii="Times New Roman" w:eastAsia="Times New Roman" w:hAnsi="Times New Roman" w:cs="Times New Roman"/>
          <w:sz w:val="20"/>
          <w:szCs w:val="20"/>
        </w:rPr>
        <w:t xml:space="preserve">quantitative </w:t>
      </w:r>
      <w:r w:rsidRPr="18F77FEA">
        <w:rPr>
          <w:rFonts w:ascii="Times New Roman" w:eastAsia="Times New Roman" w:hAnsi="Times New Roman" w:cs="Times New Roman"/>
          <w:sz w:val="20"/>
          <w:szCs w:val="20"/>
        </w:rPr>
        <w:t>courses approved in this category</w:t>
      </w:r>
      <w:bookmarkStart w:id="5" w:name="_Int_EGowbkdT"/>
      <w:r w:rsidRPr="18F77FEA">
        <w:rPr>
          <w:rFonts w:ascii="Times New Roman" w:eastAsia="Times New Roman" w:hAnsi="Times New Roman" w:cs="Times New Roman"/>
          <w:sz w:val="20"/>
          <w:szCs w:val="20"/>
        </w:rPr>
        <w:t xml:space="preserve">.  </w:t>
      </w:r>
      <w:bookmarkEnd w:id="5"/>
      <w:r w:rsidR="59DA4271" w:rsidRPr="18F77FEA">
        <w:rPr>
          <w:rFonts w:ascii="Times New Roman" w:eastAsia="Times New Roman" w:hAnsi="Times New Roman" w:cs="Times New Roman"/>
          <w:sz w:val="20"/>
          <w:szCs w:val="20"/>
        </w:rPr>
        <w:t>However, ODHE</w:t>
      </w:r>
      <w:r w:rsidR="544F6151" w:rsidRPr="18F77FEA">
        <w:rPr>
          <w:rFonts w:ascii="Times New Roman" w:eastAsia="Times New Roman" w:hAnsi="Times New Roman" w:cs="Times New Roman"/>
          <w:sz w:val="20"/>
          <w:szCs w:val="20"/>
        </w:rPr>
        <w:t xml:space="preserve"> retired </w:t>
      </w:r>
      <w:r w:rsidR="7114F143" w:rsidRPr="18F77FEA">
        <w:rPr>
          <w:rFonts w:ascii="Times New Roman" w:eastAsia="Times New Roman" w:hAnsi="Times New Roman" w:cs="Times New Roman"/>
          <w:sz w:val="20"/>
          <w:szCs w:val="20"/>
        </w:rPr>
        <w:t xml:space="preserve">the </w:t>
      </w:r>
      <w:r w:rsidR="59DA4271" w:rsidRPr="18F77FEA">
        <w:rPr>
          <w:rFonts w:ascii="Times New Roman" w:eastAsia="Times New Roman" w:hAnsi="Times New Roman" w:cs="Times New Roman"/>
          <w:sz w:val="20"/>
          <w:szCs w:val="20"/>
        </w:rPr>
        <w:t xml:space="preserve">TMMSL category </w:t>
      </w:r>
      <w:r w:rsidR="544F6151" w:rsidRPr="18F77FEA">
        <w:rPr>
          <w:rFonts w:ascii="Times New Roman" w:eastAsia="Times New Roman" w:hAnsi="Times New Roman" w:cs="Times New Roman"/>
          <w:sz w:val="20"/>
          <w:szCs w:val="20"/>
        </w:rPr>
        <w:t>for quantitative courses</w:t>
      </w:r>
      <w:r w:rsidRPr="18F77FEA">
        <w:rPr>
          <w:rFonts w:ascii="Times New Roman" w:eastAsia="Times New Roman" w:hAnsi="Times New Roman" w:cs="Times New Roman"/>
          <w:sz w:val="20"/>
          <w:szCs w:val="20"/>
        </w:rPr>
        <w:t xml:space="preserve"> in March 2021, and this has consequences for our curriculum:</w:t>
      </w:r>
      <w:r w:rsidR="544F6151" w:rsidRPr="18F77FEA">
        <w:rPr>
          <w:rFonts w:ascii="Times New Roman" w:eastAsia="Times New Roman" w:hAnsi="Times New Roman" w:cs="Times New Roman"/>
          <w:sz w:val="20"/>
          <w:szCs w:val="20"/>
        </w:rPr>
        <w:t xml:space="preserve"> </w:t>
      </w:r>
      <w:r w:rsidR="3C3DF4FC" w:rsidRPr="18F77FEA">
        <w:rPr>
          <w:rFonts w:ascii="Times New Roman" w:eastAsia="Times New Roman" w:hAnsi="Times New Roman" w:cs="Times New Roman"/>
          <w:sz w:val="20"/>
          <w:szCs w:val="20"/>
        </w:rPr>
        <w:t xml:space="preserve"> </w:t>
      </w:r>
    </w:p>
    <w:p w14:paraId="58EBCF06" w14:textId="77777777" w:rsidR="00BD5944" w:rsidRDefault="00BD5944" w:rsidP="18F77FEA">
      <w:pPr>
        <w:spacing w:after="0" w:line="240" w:lineRule="auto"/>
        <w:jc w:val="both"/>
        <w:rPr>
          <w:rFonts w:ascii="Times New Roman" w:eastAsia="Times New Roman" w:hAnsi="Times New Roman" w:cs="Times New Roman"/>
          <w:sz w:val="20"/>
          <w:szCs w:val="20"/>
        </w:rPr>
      </w:pPr>
    </w:p>
    <w:p w14:paraId="251458CE" w14:textId="21762C45" w:rsidR="00905B8B" w:rsidRDefault="00905B8B" w:rsidP="18F77FEA">
      <w:pPr>
        <w:pStyle w:val="ListParagraph"/>
        <w:numPr>
          <w:ilvl w:val="0"/>
          <w:numId w:val="14"/>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courses that are not</w:t>
      </w:r>
      <w:r w:rsidR="00283487" w:rsidRPr="18F77FEA">
        <w:rPr>
          <w:rFonts w:ascii="Times New Roman" w:eastAsia="Times New Roman" w:hAnsi="Times New Roman" w:cs="Times New Roman"/>
          <w:sz w:val="20"/>
          <w:szCs w:val="20"/>
        </w:rPr>
        <w:t xml:space="preserve"> currently</w:t>
      </w:r>
      <w:r w:rsidRPr="18F77FEA">
        <w:rPr>
          <w:rFonts w:ascii="Times New Roman" w:eastAsia="Times New Roman" w:hAnsi="Times New Roman" w:cs="Times New Roman"/>
          <w:sz w:val="20"/>
          <w:szCs w:val="20"/>
        </w:rPr>
        <w:t xml:space="preserve"> in OT-36 </w:t>
      </w:r>
      <w:r w:rsidR="00283487" w:rsidRPr="18F77FEA">
        <w:rPr>
          <w:rFonts w:ascii="Times New Roman" w:eastAsia="Times New Roman" w:hAnsi="Times New Roman" w:cs="Times New Roman"/>
          <w:sz w:val="20"/>
          <w:szCs w:val="20"/>
        </w:rPr>
        <w:t>cannot be approved for inclusion unless they fit into one of the specific categories</w:t>
      </w:r>
      <w:r w:rsidR="00BD5944" w:rsidRPr="18F77FEA">
        <w:rPr>
          <w:rFonts w:ascii="Times New Roman" w:eastAsia="Times New Roman" w:hAnsi="Times New Roman" w:cs="Times New Roman"/>
          <w:sz w:val="20"/>
          <w:szCs w:val="20"/>
        </w:rPr>
        <w:t xml:space="preserve"> (and are therefore counted as equivalent to all other courses in that specific category)</w:t>
      </w:r>
      <w:r w:rsidR="002474DA" w:rsidRPr="18F77FEA">
        <w:rPr>
          <w:rFonts w:ascii="Times New Roman" w:eastAsia="Times New Roman" w:hAnsi="Times New Roman" w:cs="Times New Roman"/>
          <w:sz w:val="20"/>
          <w:szCs w:val="20"/>
        </w:rPr>
        <w:t>.</w:t>
      </w:r>
    </w:p>
    <w:p w14:paraId="08A8FB4C" w14:textId="77777777" w:rsidR="00BD5944" w:rsidRDefault="00BD5944" w:rsidP="18F77FEA">
      <w:pPr>
        <w:pStyle w:val="ListParagraph"/>
        <w:spacing w:after="0" w:line="240" w:lineRule="auto"/>
        <w:jc w:val="both"/>
        <w:rPr>
          <w:rFonts w:ascii="Times New Roman" w:eastAsia="Times New Roman" w:hAnsi="Times New Roman" w:cs="Times New Roman"/>
          <w:sz w:val="20"/>
          <w:szCs w:val="20"/>
        </w:rPr>
      </w:pPr>
    </w:p>
    <w:p w14:paraId="3025D242" w14:textId="79809F82" w:rsidR="00BD5944" w:rsidRPr="00BD5944" w:rsidRDefault="544F6151" w:rsidP="18F77FEA">
      <w:pPr>
        <w:pStyle w:val="ListParagraph"/>
        <w:numPr>
          <w:ilvl w:val="0"/>
          <w:numId w:val="14"/>
        </w:numPr>
        <w:spacing w:after="0" w:line="240" w:lineRule="auto"/>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Quantitative courses that are currently approved in the generic category TMMSL will be reviewed</w:t>
      </w:r>
      <w:r w:rsidR="0CE14A72" w:rsidRPr="18F77FEA">
        <w:rPr>
          <w:rFonts w:ascii="Times New Roman" w:eastAsia="Times New Roman" w:hAnsi="Times New Roman" w:cs="Times New Roman"/>
          <w:sz w:val="20"/>
          <w:szCs w:val="20"/>
        </w:rPr>
        <w:t xml:space="preserve"> within the next five years</w:t>
      </w:r>
      <w:r w:rsidRPr="18F77FEA">
        <w:rPr>
          <w:rFonts w:ascii="Times New Roman" w:eastAsia="Times New Roman" w:hAnsi="Times New Roman" w:cs="Times New Roman"/>
          <w:sz w:val="20"/>
          <w:szCs w:val="20"/>
        </w:rPr>
        <w:t>, and those that do not fit into one of the narrow categories will be removed from OT-36.</w:t>
      </w:r>
    </w:p>
    <w:p w14:paraId="0B16FAA9" w14:textId="697210FD" w:rsidR="003C4E30" w:rsidRDefault="003C4E30" w:rsidP="18F77FEA">
      <w:pPr>
        <w:spacing w:after="0" w:line="240" w:lineRule="auto"/>
        <w:rPr>
          <w:rFonts w:ascii="Times New Roman" w:eastAsia="Times New Roman" w:hAnsi="Times New Roman" w:cs="Times New Roman"/>
          <w:sz w:val="20"/>
          <w:szCs w:val="20"/>
        </w:rPr>
      </w:pPr>
    </w:p>
    <w:p w14:paraId="150F0873" w14:textId="4613FF0C" w:rsidR="443D3475" w:rsidRPr="004E4EAD" w:rsidRDefault="00BD5944" w:rsidP="443D3475">
      <w:pPr>
        <w:spacing w:after="0" w:line="240" w:lineRule="auto"/>
        <w:jc w:val="both"/>
        <w:rPr>
          <w:rFonts w:ascii="Times New Roman" w:eastAsia="Times New Roman" w:hAnsi="Times New Roman" w:cs="Times New Roman"/>
          <w:sz w:val="20"/>
          <w:szCs w:val="20"/>
        </w:rPr>
      </w:pPr>
      <w:bookmarkStart w:id="6" w:name="_Int_S1n5jmkG"/>
      <w:r w:rsidRPr="443D3475">
        <w:rPr>
          <w:rFonts w:ascii="Times New Roman" w:eastAsia="Times New Roman" w:hAnsi="Times New Roman" w:cs="Times New Roman"/>
          <w:sz w:val="20"/>
          <w:szCs w:val="20"/>
        </w:rPr>
        <w:t>The intent of ODHE is to limit the extent of introductory quantitative courses to a few standard categories that are tied to th</w:t>
      </w:r>
      <w:r w:rsidR="00B923C7" w:rsidRPr="443D3475">
        <w:rPr>
          <w:rFonts w:ascii="Times New Roman" w:eastAsia="Times New Roman" w:hAnsi="Times New Roman" w:cs="Times New Roman"/>
          <w:sz w:val="20"/>
          <w:szCs w:val="20"/>
        </w:rPr>
        <w:t>e</w:t>
      </w:r>
      <w:r w:rsidR="00820D5E" w:rsidRPr="443D3475">
        <w:rPr>
          <w:rFonts w:ascii="Times New Roman" w:eastAsia="Times New Roman" w:hAnsi="Times New Roman" w:cs="Times New Roman"/>
          <w:sz w:val="20"/>
          <w:szCs w:val="20"/>
        </w:rPr>
        <w:t>ir</w:t>
      </w:r>
      <w:r w:rsidRPr="443D3475">
        <w:rPr>
          <w:rFonts w:ascii="Times New Roman" w:eastAsia="Times New Roman" w:hAnsi="Times New Roman" w:cs="Times New Roman"/>
          <w:sz w:val="20"/>
          <w:szCs w:val="20"/>
        </w:rPr>
        <w:t xml:space="preserve"> guaranteed transfer pathways initiative</w:t>
      </w:r>
      <w:bookmarkStart w:id="7" w:name="_Int_Pxl5CASV"/>
      <w:r w:rsidRPr="443D3475">
        <w:rPr>
          <w:rFonts w:ascii="Times New Roman" w:eastAsia="Times New Roman" w:hAnsi="Times New Roman" w:cs="Times New Roman"/>
          <w:sz w:val="20"/>
          <w:szCs w:val="20"/>
        </w:rPr>
        <w:t>.</w:t>
      </w:r>
      <w:bookmarkEnd w:id="6"/>
      <w:r w:rsidRPr="443D3475">
        <w:rPr>
          <w:rFonts w:ascii="Times New Roman" w:eastAsia="Times New Roman" w:hAnsi="Times New Roman" w:cs="Times New Roman"/>
          <w:sz w:val="20"/>
          <w:szCs w:val="20"/>
        </w:rPr>
        <w:t xml:space="preserve">  </w:t>
      </w:r>
      <w:bookmarkEnd w:id="7"/>
      <w:r w:rsidRPr="443D3475">
        <w:rPr>
          <w:rFonts w:ascii="Times New Roman" w:eastAsia="Times New Roman" w:hAnsi="Times New Roman" w:cs="Times New Roman"/>
          <w:sz w:val="20"/>
          <w:szCs w:val="20"/>
        </w:rPr>
        <w:t>The</w:t>
      </w:r>
      <w:r w:rsidR="0085192D" w:rsidRPr="443D3475">
        <w:rPr>
          <w:rFonts w:ascii="Times New Roman" w:eastAsia="Times New Roman" w:hAnsi="Times New Roman" w:cs="Times New Roman"/>
          <w:sz w:val="20"/>
          <w:szCs w:val="20"/>
        </w:rPr>
        <w:t xml:space="preserve"> desired outcome</w:t>
      </w:r>
      <w:r w:rsidR="00427465" w:rsidRPr="443D3475">
        <w:rPr>
          <w:rFonts w:ascii="Times New Roman" w:eastAsia="Times New Roman" w:hAnsi="Times New Roman" w:cs="Times New Roman"/>
          <w:sz w:val="20"/>
          <w:szCs w:val="20"/>
        </w:rPr>
        <w:t xml:space="preserve"> </w:t>
      </w:r>
      <w:r w:rsidRPr="443D3475">
        <w:rPr>
          <w:rFonts w:ascii="Times New Roman" w:eastAsia="Times New Roman" w:hAnsi="Times New Roman" w:cs="Times New Roman"/>
          <w:sz w:val="20"/>
          <w:szCs w:val="20"/>
        </w:rPr>
        <w:t xml:space="preserve">is to steer students </w:t>
      </w:r>
      <w:r w:rsidR="00B923C7" w:rsidRPr="443D3475">
        <w:rPr>
          <w:rFonts w:ascii="Times New Roman" w:eastAsia="Times New Roman" w:hAnsi="Times New Roman" w:cs="Times New Roman"/>
          <w:sz w:val="20"/>
          <w:szCs w:val="20"/>
        </w:rPr>
        <w:t xml:space="preserve">away from quantitative courses that do not have a broad curricular function, </w:t>
      </w:r>
      <w:r w:rsidR="0085192D" w:rsidRPr="443D3475">
        <w:rPr>
          <w:rFonts w:ascii="Times New Roman" w:eastAsia="Times New Roman" w:hAnsi="Times New Roman" w:cs="Times New Roman"/>
          <w:sz w:val="20"/>
          <w:szCs w:val="20"/>
        </w:rPr>
        <w:t>as this will help</w:t>
      </w:r>
      <w:r w:rsidR="00427465" w:rsidRPr="443D3475">
        <w:rPr>
          <w:rFonts w:ascii="Times New Roman" w:eastAsia="Times New Roman" w:hAnsi="Times New Roman" w:cs="Times New Roman"/>
          <w:sz w:val="20"/>
          <w:szCs w:val="20"/>
        </w:rPr>
        <w:t xml:space="preserve"> </w:t>
      </w:r>
      <w:r w:rsidR="00B923C7" w:rsidRPr="443D3475">
        <w:rPr>
          <w:rFonts w:ascii="Times New Roman" w:eastAsia="Times New Roman" w:hAnsi="Times New Roman" w:cs="Times New Roman"/>
          <w:sz w:val="20"/>
          <w:szCs w:val="20"/>
        </w:rPr>
        <w:t xml:space="preserve">minimize the chance of students having to take </w:t>
      </w:r>
      <w:r w:rsidR="00427465" w:rsidRPr="443D3475">
        <w:rPr>
          <w:rFonts w:ascii="Times New Roman" w:eastAsia="Times New Roman" w:hAnsi="Times New Roman" w:cs="Times New Roman"/>
          <w:sz w:val="20"/>
          <w:szCs w:val="20"/>
        </w:rPr>
        <w:t>an additional unexpected quantitative course after transferring institutions</w:t>
      </w:r>
      <w:bookmarkStart w:id="8" w:name="_Int_T3BeH1cF"/>
      <w:r w:rsidR="00427465" w:rsidRPr="443D3475">
        <w:rPr>
          <w:rFonts w:ascii="Times New Roman" w:eastAsia="Times New Roman" w:hAnsi="Times New Roman" w:cs="Times New Roman"/>
          <w:sz w:val="20"/>
          <w:szCs w:val="20"/>
        </w:rPr>
        <w:t>.</w:t>
      </w:r>
      <w:r w:rsidR="0085192D" w:rsidRPr="443D3475">
        <w:rPr>
          <w:rFonts w:ascii="Times New Roman" w:eastAsia="Times New Roman" w:hAnsi="Times New Roman" w:cs="Times New Roman"/>
          <w:sz w:val="20"/>
          <w:szCs w:val="20"/>
        </w:rPr>
        <w:t xml:space="preserve"> </w:t>
      </w:r>
      <w:r w:rsidR="00340E85" w:rsidRPr="443D3475">
        <w:rPr>
          <w:rFonts w:ascii="Times New Roman" w:eastAsia="Times New Roman" w:hAnsi="Times New Roman" w:cs="Times New Roman"/>
          <w:sz w:val="20"/>
          <w:szCs w:val="20"/>
        </w:rPr>
        <w:t xml:space="preserve"> </w:t>
      </w:r>
      <w:bookmarkEnd w:id="8"/>
      <w:r w:rsidR="00340E85" w:rsidRPr="443D3475">
        <w:rPr>
          <w:rFonts w:ascii="Times New Roman" w:eastAsia="Times New Roman" w:hAnsi="Times New Roman" w:cs="Times New Roman"/>
          <w:sz w:val="20"/>
          <w:szCs w:val="20"/>
        </w:rPr>
        <w:t xml:space="preserve"> Since our general education program is tied to ODHE, there have been unintended consequences for BRICKS.</w:t>
      </w:r>
    </w:p>
    <w:p w14:paraId="7FDE723E" w14:textId="765690D7" w:rsidR="00815DE6" w:rsidRPr="00BE31BF" w:rsidRDefault="00427465" w:rsidP="00BE31BF">
      <w:pPr>
        <w:pStyle w:val="Heading2"/>
        <w:spacing w:before="60" w:after="60"/>
        <w:rPr>
          <w:rFonts w:eastAsia="Times New Roman"/>
          <w:color w:val="006848"/>
          <w:sz w:val="22"/>
          <w:szCs w:val="22"/>
        </w:rPr>
      </w:pPr>
      <w:r>
        <w:rPr>
          <w:rFonts w:eastAsia="Times New Roman"/>
          <w:color w:val="006848"/>
          <w:sz w:val="22"/>
          <w:szCs w:val="22"/>
        </w:rPr>
        <w:t>Local Issues</w:t>
      </w:r>
    </w:p>
    <w:p w14:paraId="1B44986C" w14:textId="0CE08BFE" w:rsidR="00FA1760" w:rsidRDefault="00340E85" w:rsidP="18F77FEA">
      <w:pPr>
        <w:spacing w:after="0" w:line="240" w:lineRule="auto"/>
        <w:jc w:val="both"/>
        <w:rPr>
          <w:rFonts w:ascii="Times New Roman" w:hAnsi="Times New Roman" w:cs="Times New Roman"/>
          <w:sz w:val="20"/>
          <w:szCs w:val="20"/>
        </w:rPr>
      </w:pPr>
      <w:r w:rsidRPr="18F77FEA">
        <w:rPr>
          <w:rFonts w:ascii="Times New Roman" w:hAnsi="Times New Roman" w:cs="Times New Roman"/>
          <w:sz w:val="20"/>
          <w:szCs w:val="20"/>
        </w:rPr>
        <w:t>Our</w:t>
      </w:r>
      <w:r w:rsidR="007F433A" w:rsidRPr="18F77FEA">
        <w:rPr>
          <w:rFonts w:ascii="Times New Roman" w:hAnsi="Times New Roman" w:cs="Times New Roman"/>
          <w:sz w:val="20"/>
          <w:szCs w:val="20"/>
        </w:rPr>
        <w:t xml:space="preserve"> </w:t>
      </w:r>
      <w:r w:rsidRPr="18F77FEA">
        <w:rPr>
          <w:rFonts w:ascii="Times New Roman" w:hAnsi="Times New Roman" w:cs="Times New Roman"/>
          <w:sz w:val="20"/>
          <w:szCs w:val="20"/>
        </w:rPr>
        <w:t xml:space="preserve">current </w:t>
      </w:r>
      <w:r w:rsidR="007F433A" w:rsidRPr="18F77FEA">
        <w:rPr>
          <w:rFonts w:ascii="Times New Roman" w:hAnsi="Times New Roman" w:cs="Times New Roman"/>
          <w:sz w:val="20"/>
          <w:szCs w:val="20"/>
        </w:rPr>
        <w:t xml:space="preserve">policy is that courses </w:t>
      </w:r>
      <w:r w:rsidR="008C7AEC" w:rsidRPr="18F77FEA">
        <w:rPr>
          <w:rFonts w:ascii="Times New Roman" w:hAnsi="Times New Roman" w:cs="Times New Roman"/>
          <w:sz w:val="20"/>
          <w:szCs w:val="20"/>
        </w:rPr>
        <w:t>fulfilling</w:t>
      </w:r>
      <w:r w:rsidR="007F433A" w:rsidRPr="18F77FEA">
        <w:rPr>
          <w:rFonts w:ascii="Times New Roman" w:hAnsi="Times New Roman" w:cs="Times New Roman"/>
          <w:sz w:val="20"/>
          <w:szCs w:val="20"/>
        </w:rPr>
        <w:t xml:space="preserve"> Quantitative Reasoning </w:t>
      </w:r>
      <w:r w:rsidR="008C7AEC" w:rsidRPr="18F77FEA">
        <w:rPr>
          <w:rFonts w:ascii="Times New Roman" w:hAnsi="Times New Roman" w:cs="Times New Roman"/>
          <w:sz w:val="20"/>
          <w:szCs w:val="20"/>
        </w:rPr>
        <w:t>requirements</w:t>
      </w:r>
      <w:r w:rsidR="007F433A" w:rsidRPr="18F77FEA">
        <w:rPr>
          <w:rFonts w:ascii="Times New Roman" w:hAnsi="Times New Roman" w:cs="Times New Roman"/>
          <w:sz w:val="20"/>
          <w:szCs w:val="20"/>
        </w:rPr>
        <w:t xml:space="preserve"> in BRICKS must be approved as MSL course</w:t>
      </w:r>
      <w:r w:rsidR="00BE2A30" w:rsidRPr="18F77FEA">
        <w:rPr>
          <w:rFonts w:ascii="Times New Roman" w:hAnsi="Times New Roman" w:cs="Times New Roman"/>
          <w:sz w:val="20"/>
          <w:szCs w:val="20"/>
        </w:rPr>
        <w:t>s</w:t>
      </w:r>
      <w:r w:rsidR="007F433A" w:rsidRPr="18F77FEA">
        <w:rPr>
          <w:rFonts w:ascii="Times New Roman" w:hAnsi="Times New Roman" w:cs="Times New Roman"/>
          <w:sz w:val="20"/>
          <w:szCs w:val="20"/>
        </w:rPr>
        <w:t xml:space="preserve"> at the state level</w:t>
      </w:r>
      <w:r w:rsidRPr="18F77FEA">
        <w:rPr>
          <w:rFonts w:ascii="Times New Roman" w:hAnsi="Times New Roman" w:cs="Times New Roman"/>
          <w:sz w:val="20"/>
          <w:szCs w:val="20"/>
        </w:rPr>
        <w:t>.</w:t>
      </w:r>
      <w:r w:rsidR="00BE31BF" w:rsidRPr="18F77FEA">
        <w:rPr>
          <w:rFonts w:ascii="Times New Roman" w:hAnsi="Times New Roman" w:cs="Times New Roman"/>
          <w:sz w:val="20"/>
          <w:szCs w:val="20"/>
        </w:rPr>
        <w:t xml:space="preserve"> The retirement of the TMMSL</w:t>
      </w:r>
      <w:r w:rsidR="00881E7D" w:rsidRPr="18F77FEA">
        <w:rPr>
          <w:rFonts w:ascii="Times New Roman" w:hAnsi="Times New Roman" w:cs="Times New Roman"/>
          <w:sz w:val="20"/>
          <w:szCs w:val="20"/>
        </w:rPr>
        <w:t xml:space="preserve"> category </w:t>
      </w:r>
      <w:r w:rsidR="00BE2A30" w:rsidRPr="18F77FEA">
        <w:rPr>
          <w:rFonts w:ascii="Times New Roman" w:hAnsi="Times New Roman" w:cs="Times New Roman"/>
          <w:sz w:val="20"/>
          <w:szCs w:val="20"/>
        </w:rPr>
        <w:t>requires</w:t>
      </w:r>
      <w:r w:rsidR="00BE31BF" w:rsidRPr="18F77FEA">
        <w:rPr>
          <w:rFonts w:ascii="Times New Roman" w:hAnsi="Times New Roman" w:cs="Times New Roman"/>
          <w:sz w:val="20"/>
          <w:szCs w:val="20"/>
        </w:rPr>
        <w:t xml:space="preserve"> us to </w:t>
      </w:r>
      <w:r w:rsidR="00881E7D" w:rsidRPr="18F77FEA">
        <w:rPr>
          <w:rFonts w:ascii="Times New Roman" w:hAnsi="Times New Roman" w:cs="Times New Roman"/>
          <w:sz w:val="20"/>
          <w:szCs w:val="20"/>
        </w:rPr>
        <w:t>adjust this policy</w:t>
      </w:r>
      <w:r w:rsidR="000963D2" w:rsidRPr="18F77FEA">
        <w:rPr>
          <w:rFonts w:ascii="Times New Roman" w:hAnsi="Times New Roman" w:cs="Times New Roman"/>
          <w:sz w:val="20"/>
          <w:szCs w:val="20"/>
        </w:rPr>
        <w:t xml:space="preserve"> in the short term</w:t>
      </w:r>
      <w:r w:rsidR="00881E7D" w:rsidRPr="18F77FEA">
        <w:rPr>
          <w:rFonts w:ascii="Times New Roman" w:hAnsi="Times New Roman" w:cs="Times New Roman"/>
          <w:sz w:val="20"/>
          <w:szCs w:val="20"/>
        </w:rPr>
        <w:t>, primarily because</w:t>
      </w:r>
      <w:r w:rsidR="00FA1760" w:rsidRPr="18F77FEA">
        <w:rPr>
          <w:rFonts w:ascii="Times New Roman" w:hAnsi="Times New Roman" w:cs="Times New Roman"/>
          <w:sz w:val="20"/>
          <w:szCs w:val="20"/>
        </w:rPr>
        <w:t xml:space="preserve"> ODHE has yet to draft learning outcomes for some of the standard courses used in general education</w:t>
      </w:r>
      <w:bookmarkStart w:id="9" w:name="_Int_lP3a6YM8"/>
      <w:r w:rsidR="00FA1760" w:rsidRPr="18F77FEA">
        <w:rPr>
          <w:rFonts w:ascii="Times New Roman" w:hAnsi="Times New Roman" w:cs="Times New Roman"/>
          <w:sz w:val="20"/>
          <w:szCs w:val="20"/>
        </w:rPr>
        <w:t xml:space="preserve">.  </w:t>
      </w:r>
      <w:bookmarkEnd w:id="9"/>
      <w:r w:rsidR="00FA1760" w:rsidRPr="18F77FEA">
        <w:rPr>
          <w:rFonts w:ascii="Times New Roman" w:hAnsi="Times New Roman" w:cs="Times New Roman"/>
          <w:sz w:val="20"/>
          <w:szCs w:val="20"/>
        </w:rPr>
        <w:t xml:space="preserve"> The specific problems</w:t>
      </w:r>
      <w:r w:rsidR="1836F0D8" w:rsidRPr="18F77FEA">
        <w:rPr>
          <w:rFonts w:ascii="Times New Roman" w:hAnsi="Times New Roman" w:cs="Times New Roman"/>
          <w:sz w:val="20"/>
          <w:szCs w:val="20"/>
        </w:rPr>
        <w:t xml:space="preserve"> are</w:t>
      </w:r>
      <w:r w:rsidR="00FA1760" w:rsidRPr="18F77FEA">
        <w:rPr>
          <w:rFonts w:ascii="Times New Roman" w:hAnsi="Times New Roman" w:cs="Times New Roman"/>
          <w:sz w:val="20"/>
          <w:szCs w:val="20"/>
        </w:rPr>
        <w:t>:</w:t>
      </w:r>
    </w:p>
    <w:p w14:paraId="466562C9" w14:textId="42407AF8" w:rsidR="006D1F18" w:rsidRDefault="006D1F18" w:rsidP="18F77FEA">
      <w:pPr>
        <w:spacing w:after="0" w:line="240" w:lineRule="auto"/>
        <w:jc w:val="both"/>
        <w:rPr>
          <w:rFonts w:ascii="Times New Roman" w:hAnsi="Times New Roman" w:cs="Times New Roman"/>
          <w:sz w:val="20"/>
          <w:szCs w:val="20"/>
        </w:rPr>
      </w:pPr>
    </w:p>
    <w:p w14:paraId="247FED5C" w14:textId="2CE919D3" w:rsidR="00F43B8E" w:rsidRDefault="00287AF8" w:rsidP="18F77FEA">
      <w:pPr>
        <w:pStyle w:val="ListParagraph"/>
        <w:numPr>
          <w:ilvl w:val="0"/>
          <w:numId w:val="9"/>
        </w:numPr>
        <w:spacing w:after="0" w:line="240" w:lineRule="auto"/>
        <w:jc w:val="both"/>
        <w:rPr>
          <w:sz w:val="20"/>
          <w:szCs w:val="20"/>
        </w:rPr>
      </w:pPr>
      <w:r w:rsidRPr="18F77FEA">
        <w:rPr>
          <w:rFonts w:ascii="Times New Roman" w:hAnsi="Times New Roman" w:cs="Times New Roman"/>
          <w:sz w:val="20"/>
          <w:szCs w:val="20"/>
        </w:rPr>
        <w:t>We have courses th</w:t>
      </w:r>
      <w:r w:rsidR="00FA1760" w:rsidRPr="18F77FEA">
        <w:rPr>
          <w:rFonts w:ascii="Times New Roman" w:hAnsi="Times New Roman" w:cs="Times New Roman"/>
          <w:sz w:val="20"/>
          <w:szCs w:val="20"/>
        </w:rPr>
        <w:t>a</w:t>
      </w:r>
      <w:r w:rsidRPr="18F77FEA">
        <w:rPr>
          <w:rFonts w:ascii="Times New Roman" w:hAnsi="Times New Roman" w:cs="Times New Roman"/>
          <w:sz w:val="20"/>
          <w:szCs w:val="20"/>
        </w:rPr>
        <w:t xml:space="preserve">t are currently approved for </w:t>
      </w:r>
      <w:r w:rsidR="008C7AEC" w:rsidRPr="18F77FEA">
        <w:rPr>
          <w:rFonts w:ascii="Times New Roman" w:hAnsi="Times New Roman" w:cs="Times New Roman"/>
          <w:sz w:val="20"/>
          <w:szCs w:val="20"/>
        </w:rPr>
        <w:t>TMMSL,</w:t>
      </w:r>
      <w:r w:rsidRPr="18F77FEA">
        <w:rPr>
          <w:rFonts w:ascii="Times New Roman" w:hAnsi="Times New Roman" w:cs="Times New Roman"/>
          <w:sz w:val="20"/>
          <w:szCs w:val="20"/>
        </w:rPr>
        <w:t xml:space="preserve"> but which will not fit in any of the remaining categories</w:t>
      </w:r>
      <w:bookmarkStart w:id="10" w:name="_Int_HH87OnvV"/>
      <w:r w:rsidR="00881E7D" w:rsidRPr="18F77FEA">
        <w:rPr>
          <w:rFonts w:ascii="Times New Roman" w:hAnsi="Times New Roman" w:cs="Times New Roman"/>
          <w:sz w:val="20"/>
          <w:szCs w:val="20"/>
        </w:rPr>
        <w:t>.</w:t>
      </w:r>
      <w:r w:rsidR="00FA1760" w:rsidRPr="18F77FEA">
        <w:rPr>
          <w:rFonts w:ascii="Times New Roman" w:hAnsi="Times New Roman" w:cs="Times New Roman"/>
          <w:sz w:val="20"/>
          <w:szCs w:val="20"/>
        </w:rPr>
        <w:t xml:space="preserve">  </w:t>
      </w:r>
      <w:bookmarkEnd w:id="10"/>
      <w:r w:rsidR="008C7AEC" w:rsidRPr="18F77FEA">
        <w:rPr>
          <w:rFonts w:ascii="Times New Roman" w:hAnsi="Times New Roman" w:cs="Times New Roman"/>
          <w:sz w:val="20"/>
          <w:szCs w:val="20"/>
        </w:rPr>
        <w:t xml:space="preserve">These courses </w:t>
      </w:r>
      <w:r w:rsidR="000963D2" w:rsidRPr="18F77FEA">
        <w:rPr>
          <w:rFonts w:ascii="Times New Roman" w:hAnsi="Times New Roman" w:cs="Times New Roman"/>
          <w:sz w:val="20"/>
          <w:szCs w:val="20"/>
        </w:rPr>
        <w:t>are scheduled to lose</w:t>
      </w:r>
      <w:r w:rsidR="00FA1760" w:rsidRPr="18F77FEA">
        <w:rPr>
          <w:rFonts w:ascii="Times New Roman" w:hAnsi="Times New Roman" w:cs="Times New Roman"/>
          <w:sz w:val="20"/>
          <w:szCs w:val="20"/>
        </w:rPr>
        <w:t xml:space="preserve"> OT-36 certification at some point in the next five years</w:t>
      </w:r>
      <w:r w:rsidR="008C7AEC" w:rsidRPr="18F77FEA">
        <w:rPr>
          <w:rFonts w:ascii="Times New Roman" w:hAnsi="Times New Roman" w:cs="Times New Roman"/>
          <w:sz w:val="20"/>
          <w:szCs w:val="20"/>
        </w:rPr>
        <w:t xml:space="preserve">, </w:t>
      </w:r>
      <w:r w:rsidR="008C7AEC" w:rsidRPr="18F77FEA">
        <w:rPr>
          <w:rFonts w:ascii="Times New Roman" w:hAnsi="Times New Roman" w:cs="Times New Roman"/>
          <w:sz w:val="20"/>
          <w:szCs w:val="20"/>
        </w:rPr>
        <w:lastRenderedPageBreak/>
        <w:t>unless</w:t>
      </w:r>
      <w:r w:rsidR="00FA1760" w:rsidRPr="18F77FEA">
        <w:rPr>
          <w:rFonts w:ascii="Times New Roman" w:hAnsi="Times New Roman" w:cs="Times New Roman"/>
          <w:sz w:val="20"/>
          <w:szCs w:val="20"/>
        </w:rPr>
        <w:t xml:space="preserve"> ODHE builds a corresponding category. PHIL 1200</w:t>
      </w:r>
      <w:r w:rsidR="000963D2" w:rsidRPr="18F77FEA">
        <w:rPr>
          <w:rFonts w:ascii="Times New Roman" w:hAnsi="Times New Roman" w:cs="Times New Roman"/>
          <w:sz w:val="20"/>
          <w:szCs w:val="20"/>
        </w:rPr>
        <w:t xml:space="preserve"> (Principles of Reasoning) </w:t>
      </w:r>
      <w:r w:rsidR="00FA1760" w:rsidRPr="18F77FEA">
        <w:rPr>
          <w:rFonts w:ascii="Times New Roman" w:hAnsi="Times New Roman" w:cs="Times New Roman"/>
          <w:sz w:val="20"/>
          <w:szCs w:val="20"/>
        </w:rPr>
        <w:t xml:space="preserve">is the most prominent example of </w:t>
      </w:r>
      <w:r w:rsidR="008C7AEC" w:rsidRPr="18F77FEA">
        <w:rPr>
          <w:rFonts w:ascii="Times New Roman" w:hAnsi="Times New Roman" w:cs="Times New Roman"/>
          <w:sz w:val="20"/>
          <w:szCs w:val="20"/>
        </w:rPr>
        <w:t xml:space="preserve">an OHIO course in this </w:t>
      </w:r>
      <w:r w:rsidR="000963D2" w:rsidRPr="18F77FEA">
        <w:rPr>
          <w:rFonts w:ascii="Times New Roman" w:hAnsi="Times New Roman" w:cs="Times New Roman"/>
          <w:sz w:val="20"/>
          <w:szCs w:val="20"/>
        </w:rPr>
        <w:t>situation</w:t>
      </w:r>
      <w:r w:rsidR="00A033AF">
        <w:rPr>
          <w:rFonts w:ascii="Times New Roman" w:hAnsi="Times New Roman" w:cs="Times New Roman"/>
          <w:sz w:val="20"/>
          <w:szCs w:val="20"/>
        </w:rPr>
        <w:t xml:space="preserve">, although ODHE is currently building a suitable category. </w:t>
      </w:r>
    </w:p>
    <w:p w14:paraId="1816B248" w14:textId="77777777" w:rsidR="008C7AEC" w:rsidRDefault="008C7AEC" w:rsidP="18F77FEA">
      <w:pPr>
        <w:pStyle w:val="ListParagraph"/>
        <w:spacing w:after="0" w:line="240" w:lineRule="auto"/>
        <w:jc w:val="both"/>
        <w:rPr>
          <w:rFonts w:ascii="Times New Roman" w:hAnsi="Times New Roman" w:cs="Times New Roman"/>
          <w:sz w:val="20"/>
          <w:szCs w:val="20"/>
        </w:rPr>
      </w:pPr>
    </w:p>
    <w:p w14:paraId="401A3C50" w14:textId="76E36E7E" w:rsidR="00FA1760" w:rsidRDefault="00881E7D" w:rsidP="18F77FEA">
      <w:pPr>
        <w:pStyle w:val="ListParagraph"/>
        <w:numPr>
          <w:ilvl w:val="0"/>
          <w:numId w:val="9"/>
        </w:numPr>
        <w:spacing w:after="0" w:line="240" w:lineRule="auto"/>
        <w:jc w:val="both"/>
        <w:rPr>
          <w:sz w:val="20"/>
          <w:szCs w:val="20"/>
        </w:rPr>
      </w:pPr>
      <w:r w:rsidRPr="18F77FEA">
        <w:rPr>
          <w:rFonts w:ascii="Times New Roman" w:hAnsi="Times New Roman" w:cs="Times New Roman"/>
          <w:sz w:val="20"/>
          <w:szCs w:val="20"/>
        </w:rPr>
        <w:t>We have courses that were previously approved for one of the narrow MSL categories which have been removed because of the forced transfer equivalence</w:t>
      </w:r>
      <w:bookmarkStart w:id="11" w:name="_Int_DQoyymTX"/>
      <w:r w:rsidRPr="18F77FEA">
        <w:rPr>
          <w:rFonts w:ascii="Times New Roman" w:hAnsi="Times New Roman" w:cs="Times New Roman"/>
          <w:sz w:val="20"/>
          <w:szCs w:val="20"/>
        </w:rPr>
        <w:t>.</w:t>
      </w:r>
      <w:r w:rsidR="00FA1760" w:rsidRPr="18F77FEA">
        <w:rPr>
          <w:rFonts w:ascii="Times New Roman" w:hAnsi="Times New Roman" w:cs="Times New Roman"/>
          <w:sz w:val="20"/>
          <w:szCs w:val="20"/>
        </w:rPr>
        <w:t xml:space="preserve">  </w:t>
      </w:r>
      <w:bookmarkEnd w:id="11"/>
      <w:r w:rsidR="00FA1760" w:rsidRPr="18F77FEA">
        <w:rPr>
          <w:rFonts w:ascii="Times New Roman" w:hAnsi="Times New Roman" w:cs="Times New Roman"/>
          <w:sz w:val="20"/>
          <w:szCs w:val="20"/>
        </w:rPr>
        <w:t xml:space="preserve">Thus, the basic statistics category TMM010 contains the OHIO courses MATH 1500 and PSY 1110, but MATH 2500 </w:t>
      </w:r>
      <w:r w:rsidR="000963D2" w:rsidRPr="18F77FEA">
        <w:rPr>
          <w:rFonts w:ascii="Times New Roman" w:hAnsi="Times New Roman" w:cs="Times New Roman"/>
          <w:sz w:val="20"/>
          <w:szCs w:val="20"/>
        </w:rPr>
        <w:t>was removed from this category because it is not equivalent to the lower-level courses</w:t>
      </w:r>
      <w:r w:rsidR="00876329" w:rsidRPr="18F77FEA">
        <w:rPr>
          <w:rFonts w:ascii="Times New Roman" w:hAnsi="Times New Roman" w:cs="Times New Roman"/>
          <w:sz w:val="20"/>
          <w:szCs w:val="20"/>
        </w:rPr>
        <w:t>.</w:t>
      </w:r>
      <w:r w:rsidR="005B0D9E">
        <w:rPr>
          <w:rFonts w:ascii="Times New Roman" w:hAnsi="Times New Roman" w:cs="Times New Roman"/>
          <w:sz w:val="20"/>
          <w:szCs w:val="20"/>
        </w:rPr>
        <w:t xml:space="preserve"> </w:t>
      </w:r>
    </w:p>
    <w:p w14:paraId="33E9A889" w14:textId="77777777" w:rsidR="008C7AEC" w:rsidRPr="008C7AEC" w:rsidRDefault="008C7AEC" w:rsidP="18F77FEA">
      <w:pPr>
        <w:pStyle w:val="ListParagraph"/>
        <w:jc w:val="both"/>
        <w:rPr>
          <w:rFonts w:ascii="Times New Roman" w:hAnsi="Times New Roman" w:cs="Times New Roman"/>
          <w:sz w:val="20"/>
          <w:szCs w:val="20"/>
        </w:rPr>
      </w:pPr>
    </w:p>
    <w:p w14:paraId="5B911A8F" w14:textId="2554C23F" w:rsidR="001D2059" w:rsidRPr="004E4EAD" w:rsidRDefault="008C7AEC" w:rsidP="004E4EAD">
      <w:pPr>
        <w:pStyle w:val="ListParagraph"/>
        <w:numPr>
          <w:ilvl w:val="0"/>
          <w:numId w:val="9"/>
        </w:numPr>
        <w:spacing w:after="0" w:line="240" w:lineRule="auto"/>
        <w:jc w:val="both"/>
        <w:rPr>
          <w:sz w:val="20"/>
          <w:szCs w:val="20"/>
        </w:rPr>
      </w:pPr>
      <w:r w:rsidRPr="5394BEB3">
        <w:rPr>
          <w:rFonts w:ascii="Times New Roman" w:hAnsi="Times New Roman" w:cs="Times New Roman"/>
          <w:sz w:val="20"/>
          <w:szCs w:val="20"/>
        </w:rPr>
        <w:t>We have course</w:t>
      </w:r>
      <w:r w:rsidR="000963D2" w:rsidRPr="5394BEB3">
        <w:rPr>
          <w:rFonts w:ascii="Times New Roman" w:hAnsi="Times New Roman" w:cs="Times New Roman"/>
          <w:sz w:val="20"/>
          <w:szCs w:val="20"/>
        </w:rPr>
        <w:t>s</w:t>
      </w:r>
      <w:r w:rsidRPr="5394BEB3">
        <w:rPr>
          <w:rFonts w:ascii="Times New Roman" w:hAnsi="Times New Roman" w:cs="Times New Roman"/>
          <w:sz w:val="20"/>
          <w:szCs w:val="20"/>
        </w:rPr>
        <w:t xml:space="preserve"> that were contingently approved for BRICKS that cannot be submitted to OT-36 </w:t>
      </w:r>
      <w:r w:rsidR="000963D2" w:rsidRPr="5394BEB3">
        <w:rPr>
          <w:rFonts w:ascii="Times New Roman" w:hAnsi="Times New Roman" w:cs="Times New Roman"/>
          <w:sz w:val="20"/>
          <w:szCs w:val="20"/>
        </w:rPr>
        <w:t>because TMMSL has been retired, and the courses do not fit one of the remaining categories.</w:t>
      </w:r>
    </w:p>
    <w:p w14:paraId="314A3D26" w14:textId="09C91D19" w:rsidR="001D2059" w:rsidRPr="004E4EAD" w:rsidRDefault="00876329" w:rsidP="004E4EAD">
      <w:pPr>
        <w:pStyle w:val="Heading1"/>
        <w:spacing w:before="60" w:after="60" w:line="240" w:lineRule="auto"/>
        <w:rPr>
          <w:rFonts w:asciiTheme="minorHAnsi" w:eastAsiaTheme="minorEastAsia" w:hAnsiTheme="minorHAnsi" w:cstheme="minorBidi"/>
          <w:b/>
          <w:bCs/>
          <w:color w:val="006848"/>
          <w:sz w:val="28"/>
          <w:szCs w:val="28"/>
        </w:rPr>
      </w:pPr>
      <w:r w:rsidRPr="5394BEB3">
        <w:rPr>
          <w:rFonts w:asciiTheme="minorHAnsi" w:eastAsiaTheme="minorEastAsia" w:hAnsiTheme="minorHAnsi" w:cstheme="minorBidi"/>
          <w:b/>
          <w:bCs/>
          <w:color w:val="006848"/>
          <w:sz w:val="28"/>
          <w:szCs w:val="28"/>
        </w:rPr>
        <w:t>Recommendations</w:t>
      </w:r>
    </w:p>
    <w:p w14:paraId="53EA1B1F" w14:textId="04282307" w:rsidR="720A8B98" w:rsidRDefault="720A8B98" w:rsidP="2413CDB7">
      <w:pPr>
        <w:spacing w:before="60" w:after="60"/>
        <w:jc w:val="both"/>
        <w:rPr>
          <w:rFonts w:ascii="Times New Roman" w:hAnsi="Times New Roman" w:cs="Times New Roman"/>
          <w:sz w:val="20"/>
          <w:szCs w:val="20"/>
        </w:rPr>
      </w:pPr>
      <w:r w:rsidRPr="443D3475">
        <w:rPr>
          <w:rFonts w:ascii="Times New Roman" w:hAnsi="Times New Roman" w:cs="Times New Roman"/>
          <w:sz w:val="20"/>
          <w:szCs w:val="20"/>
        </w:rPr>
        <w:t>Requiring</w:t>
      </w:r>
      <w:r w:rsidR="236D764F" w:rsidRPr="443D3475">
        <w:rPr>
          <w:rFonts w:ascii="Times New Roman" w:hAnsi="Times New Roman" w:cs="Times New Roman"/>
          <w:sz w:val="20"/>
          <w:szCs w:val="20"/>
        </w:rPr>
        <w:t xml:space="preserve"> </w:t>
      </w:r>
      <w:r w:rsidRPr="443D3475">
        <w:rPr>
          <w:rFonts w:ascii="Times New Roman" w:hAnsi="Times New Roman" w:cs="Times New Roman"/>
          <w:sz w:val="20"/>
          <w:szCs w:val="20"/>
        </w:rPr>
        <w:t>all</w:t>
      </w:r>
      <w:r w:rsidR="5CE575C8" w:rsidRPr="443D3475">
        <w:rPr>
          <w:rFonts w:ascii="Times New Roman" w:hAnsi="Times New Roman" w:cs="Times New Roman"/>
          <w:sz w:val="20"/>
          <w:szCs w:val="20"/>
        </w:rPr>
        <w:t xml:space="preserve"> </w:t>
      </w:r>
      <w:r w:rsidR="236D764F" w:rsidRPr="443D3475">
        <w:rPr>
          <w:rFonts w:ascii="Times New Roman" w:hAnsi="Times New Roman" w:cs="Times New Roman"/>
          <w:sz w:val="20"/>
          <w:szCs w:val="20"/>
        </w:rPr>
        <w:t xml:space="preserve">BRICKS quantitative reasoning courses </w:t>
      </w:r>
      <w:r w:rsidRPr="443D3475">
        <w:rPr>
          <w:rFonts w:ascii="Times New Roman" w:hAnsi="Times New Roman" w:cs="Times New Roman"/>
          <w:sz w:val="20"/>
          <w:szCs w:val="20"/>
        </w:rPr>
        <w:t>to</w:t>
      </w:r>
      <w:r w:rsidR="4F72CB50" w:rsidRPr="443D3475">
        <w:rPr>
          <w:rFonts w:ascii="Times New Roman" w:hAnsi="Times New Roman" w:cs="Times New Roman"/>
          <w:sz w:val="20"/>
          <w:szCs w:val="20"/>
        </w:rPr>
        <w:t xml:space="preserve"> </w:t>
      </w:r>
      <w:r w:rsidR="236D764F" w:rsidRPr="443D3475">
        <w:rPr>
          <w:rFonts w:ascii="Times New Roman" w:hAnsi="Times New Roman" w:cs="Times New Roman"/>
          <w:sz w:val="20"/>
          <w:szCs w:val="20"/>
        </w:rPr>
        <w:t xml:space="preserve">receive OT-36 approval </w:t>
      </w:r>
      <w:r w:rsidR="1E8DFDE7" w:rsidRPr="443D3475">
        <w:rPr>
          <w:rFonts w:ascii="Times New Roman" w:hAnsi="Times New Roman" w:cs="Times New Roman"/>
          <w:sz w:val="20"/>
          <w:szCs w:val="20"/>
        </w:rPr>
        <w:t>i</w:t>
      </w:r>
      <w:r w:rsidR="2FE316E1" w:rsidRPr="443D3475">
        <w:rPr>
          <w:rFonts w:ascii="Times New Roman" w:hAnsi="Times New Roman" w:cs="Times New Roman"/>
          <w:sz w:val="20"/>
          <w:szCs w:val="20"/>
        </w:rPr>
        <w:t>s not feasible given that there are</w:t>
      </w:r>
      <w:bookmarkStart w:id="12" w:name="_Int_xNeKr5vu"/>
      <w:r w:rsidR="1A329C28" w:rsidRPr="443D3475">
        <w:rPr>
          <w:rFonts w:ascii="Times New Roman" w:hAnsi="Times New Roman" w:cs="Times New Roman"/>
          <w:sz w:val="20"/>
          <w:szCs w:val="20"/>
        </w:rPr>
        <w:t xml:space="preserve"> significant omissions in the available categories</w:t>
      </w:r>
      <w:bookmarkStart w:id="13" w:name="_Int_ORaU59zv"/>
      <w:r w:rsidR="7A3CC10C" w:rsidRPr="443D3475">
        <w:rPr>
          <w:rFonts w:ascii="Times New Roman" w:hAnsi="Times New Roman" w:cs="Times New Roman"/>
          <w:sz w:val="20"/>
          <w:szCs w:val="20"/>
        </w:rPr>
        <w:t xml:space="preserve">. </w:t>
      </w:r>
      <w:bookmarkEnd w:id="12"/>
      <w:bookmarkEnd w:id="13"/>
      <w:r w:rsidR="3F3E5CEC" w:rsidRPr="443D3475">
        <w:rPr>
          <w:rFonts w:ascii="Times New Roman" w:hAnsi="Times New Roman" w:cs="Times New Roman"/>
          <w:sz w:val="20"/>
          <w:szCs w:val="20"/>
        </w:rPr>
        <w:t>At the same time, we should attempt to keep our alignment with the goals of ODHE for quantitative reasoning courses</w:t>
      </w:r>
      <w:bookmarkStart w:id="14" w:name="_Int_BBTPxcDi"/>
      <w:r w:rsidR="3F3E5CEC" w:rsidRPr="443D3475">
        <w:rPr>
          <w:rFonts w:ascii="Times New Roman" w:hAnsi="Times New Roman" w:cs="Times New Roman"/>
          <w:sz w:val="20"/>
          <w:szCs w:val="20"/>
        </w:rPr>
        <w:t>.</w:t>
      </w:r>
      <w:r w:rsidR="2D255D24" w:rsidRPr="443D3475">
        <w:rPr>
          <w:rFonts w:ascii="Times New Roman" w:hAnsi="Times New Roman" w:cs="Times New Roman"/>
          <w:sz w:val="20"/>
          <w:szCs w:val="20"/>
        </w:rPr>
        <w:t xml:space="preserve"> </w:t>
      </w:r>
      <w:r w:rsidR="3F92C627" w:rsidRPr="443D3475">
        <w:rPr>
          <w:rFonts w:ascii="Times New Roman" w:hAnsi="Times New Roman" w:cs="Times New Roman"/>
          <w:sz w:val="20"/>
          <w:szCs w:val="20"/>
        </w:rPr>
        <w:t>To do this, we propose</w:t>
      </w:r>
      <w:r w:rsidR="00A033AF" w:rsidRPr="443D3475">
        <w:rPr>
          <w:rFonts w:ascii="Times New Roman" w:hAnsi="Times New Roman" w:cs="Times New Roman"/>
          <w:sz w:val="20"/>
          <w:szCs w:val="20"/>
        </w:rPr>
        <w:t xml:space="preserve"> the following policies:</w:t>
      </w:r>
      <w:bookmarkEnd w:id="14"/>
    </w:p>
    <w:p w14:paraId="6BD40BC2" w14:textId="1D7533F4" w:rsidR="2413CDB7" w:rsidRDefault="2413CDB7" w:rsidP="2413CDB7">
      <w:pPr>
        <w:spacing w:before="60" w:after="60"/>
        <w:jc w:val="both"/>
        <w:rPr>
          <w:rFonts w:ascii="Times New Roman" w:hAnsi="Times New Roman" w:cs="Times New Roman"/>
          <w:sz w:val="20"/>
          <w:szCs w:val="20"/>
        </w:rPr>
      </w:pPr>
    </w:p>
    <w:p w14:paraId="25ECCB5B" w14:textId="1935DA6E"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FQR courses should be restricted to OT-36 approved courses</w:t>
      </w:r>
      <w:r w:rsidR="4CD9D997" w:rsidRPr="2413CDB7">
        <w:rPr>
          <w:rFonts w:ascii="Times New Roman" w:eastAsia="Times New Roman" w:hAnsi="Times New Roman" w:cs="Times New Roman"/>
          <w:sz w:val="20"/>
          <w:szCs w:val="20"/>
        </w:rPr>
        <w:t>.</w:t>
      </w:r>
      <w:r w:rsidRPr="2413CDB7">
        <w:rPr>
          <w:rFonts w:ascii="Times New Roman" w:eastAsia="Times New Roman" w:hAnsi="Times New Roman" w:cs="Times New Roman"/>
          <w:sz w:val="20"/>
          <w:szCs w:val="20"/>
        </w:rPr>
        <w:t xml:space="preserve">  An exception for PHIL 1200 is included</w:t>
      </w:r>
      <w:r w:rsidR="3DFB3216" w:rsidRPr="2413CDB7">
        <w:rPr>
          <w:rFonts w:ascii="Times New Roman" w:eastAsia="Times New Roman" w:hAnsi="Times New Roman" w:cs="Times New Roman"/>
          <w:sz w:val="20"/>
          <w:szCs w:val="20"/>
        </w:rPr>
        <w:t xml:space="preserve"> as the ODHE is constructing an OT-36 category for such courses.</w:t>
      </w:r>
    </w:p>
    <w:p w14:paraId="7CF7F8C4" w14:textId="51FD193B"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Only FQR courses can have </w:t>
      </w:r>
      <w:bookmarkStart w:id="15" w:name="_Int_WHHSG6c4"/>
      <w:r w:rsidR="473831B6" w:rsidRPr="2413CDB7">
        <w:rPr>
          <w:rFonts w:ascii="Times New Roman" w:eastAsia="Times New Roman" w:hAnsi="Times New Roman" w:cs="Times New Roman"/>
          <w:sz w:val="20"/>
          <w:szCs w:val="20"/>
        </w:rPr>
        <w:t>PL1 (Placement Level 1)</w:t>
      </w:r>
      <w:bookmarkEnd w:id="15"/>
      <w:r w:rsidRPr="2413CDB7">
        <w:rPr>
          <w:rFonts w:ascii="Times New Roman" w:eastAsia="Times New Roman" w:hAnsi="Times New Roman" w:cs="Times New Roman"/>
          <w:sz w:val="20"/>
          <w:szCs w:val="20"/>
        </w:rPr>
        <w:t xml:space="preserve"> as a pre-requisite. </w:t>
      </w:r>
      <w:r w:rsidR="00A033AF">
        <w:rPr>
          <w:rStyle w:val="FootnoteReference"/>
          <w:rFonts w:ascii="Times New Roman" w:eastAsia="Times New Roman" w:hAnsi="Times New Roman" w:cs="Times New Roman"/>
          <w:sz w:val="20"/>
          <w:szCs w:val="20"/>
        </w:rPr>
        <w:footnoteReference w:id="2"/>
      </w:r>
    </w:p>
    <w:p w14:paraId="577D7C45" w14:textId="21DA2BC6"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There will be a local process for approving quantitative courses that satisfy the </w:t>
      </w:r>
      <w:r w:rsidR="5DB5C4B1" w:rsidRPr="2413CDB7">
        <w:rPr>
          <w:rFonts w:ascii="Times New Roman" w:eastAsia="Times New Roman" w:hAnsi="Times New Roman" w:cs="Times New Roman"/>
          <w:sz w:val="20"/>
          <w:szCs w:val="20"/>
        </w:rPr>
        <w:t xml:space="preserve">guidelines formerly governing the TMMSL category of OT-36.  Courses approved in this matter must be in the </w:t>
      </w:r>
      <w:r w:rsidR="436ECDAE" w:rsidRPr="2413CDB7">
        <w:rPr>
          <w:rFonts w:ascii="Times New Roman" w:eastAsia="Times New Roman" w:hAnsi="Times New Roman" w:cs="Times New Roman"/>
          <w:sz w:val="20"/>
          <w:szCs w:val="20"/>
        </w:rPr>
        <w:t>ACSW</w:t>
      </w:r>
      <w:r w:rsidR="5DB5C4B1" w:rsidRPr="2413CDB7">
        <w:rPr>
          <w:rFonts w:ascii="Times New Roman" w:eastAsia="Times New Roman" w:hAnsi="Times New Roman" w:cs="Times New Roman"/>
          <w:sz w:val="20"/>
          <w:szCs w:val="20"/>
        </w:rPr>
        <w:t xml:space="preserve"> comp</w:t>
      </w:r>
      <w:r w:rsidR="3E158DFF" w:rsidRPr="2413CDB7">
        <w:rPr>
          <w:rFonts w:ascii="Times New Roman" w:eastAsia="Times New Roman" w:hAnsi="Times New Roman" w:cs="Times New Roman"/>
          <w:sz w:val="20"/>
          <w:szCs w:val="20"/>
        </w:rPr>
        <w:t>onent of BRICKS.</w:t>
      </w:r>
      <w:r w:rsidR="005B0D9E">
        <w:rPr>
          <w:rFonts w:ascii="Times New Roman" w:eastAsia="Times New Roman" w:hAnsi="Times New Roman" w:cs="Times New Roman"/>
          <w:sz w:val="20"/>
          <w:szCs w:val="20"/>
        </w:rPr>
        <w:t xml:space="preserve"> A process is outlined below.</w:t>
      </w:r>
    </w:p>
    <w:p w14:paraId="71A7FB70" w14:textId="1F40A0AB" w:rsidR="008A271B" w:rsidRPr="00BE31BF" w:rsidRDefault="4625034B"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Quantitative courses in </w:t>
      </w:r>
      <w:r w:rsidR="3B6E0C0E" w:rsidRPr="2413CDB7">
        <w:rPr>
          <w:rFonts w:ascii="Times New Roman" w:eastAsia="Times New Roman" w:hAnsi="Times New Roman" w:cs="Times New Roman"/>
          <w:sz w:val="20"/>
          <w:szCs w:val="20"/>
        </w:rPr>
        <w:t>ACSW must have</w:t>
      </w:r>
      <w:r w:rsidRPr="2413CDB7">
        <w:rPr>
          <w:rFonts w:ascii="Times New Roman" w:eastAsia="Times New Roman" w:hAnsi="Times New Roman" w:cs="Times New Roman"/>
          <w:sz w:val="20"/>
          <w:szCs w:val="20"/>
        </w:rPr>
        <w:t xml:space="preserve"> an FQR-level pre-requisite that can be bypassed by placement.  To take such a course, </w:t>
      </w:r>
      <w:r w:rsidR="5CA27B53" w:rsidRPr="2413CDB7">
        <w:rPr>
          <w:rFonts w:ascii="Times New Roman" w:eastAsia="Times New Roman" w:hAnsi="Times New Roman" w:cs="Times New Roman"/>
          <w:sz w:val="20"/>
          <w:szCs w:val="20"/>
        </w:rPr>
        <w:t>a student will either need credit for an FQR course or have a math placement level of at least PL2.</w:t>
      </w:r>
      <w:r w:rsidR="00A033AF">
        <w:rPr>
          <w:rStyle w:val="FootnoteReference"/>
          <w:rFonts w:ascii="Times New Roman" w:eastAsia="Times New Roman" w:hAnsi="Times New Roman" w:cs="Times New Roman"/>
          <w:sz w:val="20"/>
          <w:szCs w:val="20"/>
        </w:rPr>
        <w:footnoteReference w:id="3"/>
      </w:r>
    </w:p>
    <w:p w14:paraId="552D5E0F" w14:textId="5911CF12" w:rsidR="03ACB983" w:rsidRDefault="03ACB983" w:rsidP="005B0D9E">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Courses that are approved as exceptions to the OT-36 requirement should undergo periodic review, with the same frequency as courses in the OT-36. If the structure of the OT-36 MSL category changes so that a matching category comes into existence, the course should be submitted to OT-36 as soon as the option becomes available.</w:t>
      </w:r>
    </w:p>
    <w:p w14:paraId="37B7C47E" w14:textId="42550026" w:rsidR="00524EBF" w:rsidRDefault="03ACB983" w:rsidP="00524EBF">
      <w:pPr>
        <w:pStyle w:val="ListParagraph"/>
        <w:numPr>
          <w:ilvl w:val="0"/>
          <w:numId w:val="1"/>
        </w:numPr>
        <w:tabs>
          <w:tab w:val="left" w:pos="720"/>
        </w:tabs>
        <w:spacing w:before="60" w:after="60"/>
        <w:ind w:left="1080" w:right="72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OT-36 approved quantitative courses that lose this status as part of the state-level review cycle must subsequently be approved by our local process to maintain status in BRICKS</w:t>
      </w:r>
      <w:r w:rsidR="005B0D9E" w:rsidRPr="443D3475">
        <w:rPr>
          <w:rFonts w:ascii="Times New Roman" w:eastAsia="Times New Roman" w:hAnsi="Times New Roman" w:cs="Times New Roman"/>
          <w:sz w:val="20"/>
          <w:szCs w:val="20"/>
        </w:rPr>
        <w:t>.</w:t>
      </w:r>
    </w:p>
    <w:p w14:paraId="08214088" w14:textId="77777777" w:rsidR="001D2059" w:rsidRPr="001D2059" w:rsidRDefault="001D2059" w:rsidP="001D2059">
      <w:pPr>
        <w:pStyle w:val="ListParagraph"/>
        <w:tabs>
          <w:tab w:val="left" w:pos="720"/>
        </w:tabs>
        <w:spacing w:before="60" w:after="60"/>
        <w:ind w:left="1080" w:right="720"/>
        <w:jc w:val="both"/>
        <w:rPr>
          <w:rFonts w:ascii="Times New Roman" w:eastAsia="Times New Roman" w:hAnsi="Times New Roman" w:cs="Times New Roman"/>
          <w:sz w:val="20"/>
          <w:szCs w:val="20"/>
        </w:rPr>
      </w:pPr>
    </w:p>
    <w:p w14:paraId="78064DB1" w14:textId="493F7780" w:rsidR="008A271B" w:rsidRDefault="00BF3E54" w:rsidP="5394BEB3">
      <w:pPr>
        <w:spacing w:before="60" w:after="60"/>
        <w:jc w:val="both"/>
        <w:rPr>
          <w:rFonts w:eastAsia="Times New Roman"/>
          <w:color w:val="006848"/>
        </w:rPr>
      </w:pPr>
      <w:r w:rsidRPr="5394BEB3">
        <w:rPr>
          <w:rFonts w:eastAsia="Times New Roman"/>
          <w:color w:val="006848"/>
        </w:rPr>
        <w:t>Approval Process</w:t>
      </w:r>
      <w:r w:rsidR="00342996" w:rsidRPr="5394BEB3">
        <w:rPr>
          <w:rFonts w:eastAsia="Times New Roman"/>
          <w:color w:val="006848"/>
        </w:rPr>
        <w:t xml:space="preserve"> for</w:t>
      </w:r>
      <w:r w:rsidR="000215CE" w:rsidRPr="5394BEB3">
        <w:rPr>
          <w:rFonts w:eastAsia="Times New Roman"/>
          <w:color w:val="006848"/>
        </w:rPr>
        <w:t xml:space="preserve"> Quantitative Courses</w:t>
      </w:r>
      <w:r w:rsidR="006333F2" w:rsidRPr="5394BEB3">
        <w:rPr>
          <w:rFonts w:eastAsia="Times New Roman"/>
          <w:color w:val="006848"/>
        </w:rPr>
        <w:t xml:space="preserve"> in</w:t>
      </w:r>
      <w:r w:rsidR="00342996" w:rsidRPr="5394BEB3">
        <w:rPr>
          <w:rFonts w:eastAsia="Times New Roman"/>
          <w:color w:val="006848"/>
        </w:rPr>
        <w:t xml:space="preserve"> BRICKS</w:t>
      </w:r>
    </w:p>
    <w:p w14:paraId="22D84D75" w14:textId="782B44BC" w:rsidR="005B0D9E" w:rsidRPr="005B0D9E" w:rsidRDefault="005B0D9E" w:rsidP="443D3475">
      <w:pPr>
        <w:spacing w:before="60" w:after="6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 xml:space="preserve">The process outlined below mirrors the appeal process in place for other areas of </w:t>
      </w:r>
      <w:r w:rsidR="4D1039F8" w:rsidRPr="443D3475">
        <w:rPr>
          <w:rFonts w:ascii="Times New Roman" w:eastAsia="Times New Roman" w:hAnsi="Times New Roman" w:cs="Times New Roman"/>
          <w:sz w:val="20"/>
          <w:szCs w:val="20"/>
        </w:rPr>
        <w:t>BRICKS and</w:t>
      </w:r>
      <w:r w:rsidRPr="443D3475">
        <w:rPr>
          <w:rFonts w:ascii="Times New Roman" w:eastAsia="Times New Roman" w:hAnsi="Times New Roman" w:cs="Times New Roman"/>
          <w:sz w:val="20"/>
          <w:szCs w:val="20"/>
        </w:rPr>
        <w:t xml:space="preserve"> puts in place a mechanism that allows quantitative courses to achieve BRICKS approval as ACSW in situations where OT-36 approval is not an option.</w:t>
      </w:r>
    </w:p>
    <w:p w14:paraId="02296F67" w14:textId="1DB1D9BF" w:rsidR="00CB2DDB" w:rsidRPr="009F7435" w:rsidRDefault="00EE7385"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A course is considered eligible for inclusion in BRICKS as a quantitative reasoning course if:</w:t>
      </w:r>
    </w:p>
    <w:p w14:paraId="7338AF04" w14:textId="5C425C2B" w:rsidR="00042FC9" w:rsidRPr="009F7435" w:rsidRDefault="25B512F2" w:rsidP="005B0D9E">
      <w:pPr>
        <w:pStyle w:val="ListParagraph"/>
        <w:numPr>
          <w:ilvl w:val="2"/>
          <w:numId w:val="19"/>
        </w:numPr>
        <w:ind w:left="1512"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t</w:t>
      </w:r>
      <w:r w:rsidR="00EE7385" w:rsidRPr="18F77FEA">
        <w:rPr>
          <w:rFonts w:ascii="Times New Roman" w:eastAsia="Times New Roman" w:hAnsi="Times New Roman" w:cs="Times New Roman"/>
          <w:sz w:val="20"/>
          <w:szCs w:val="20"/>
        </w:rPr>
        <w:t xml:space="preserve">he course meets the guidelines previously in place for </w:t>
      </w:r>
      <w:r w:rsidR="00E46192" w:rsidRPr="18F77FEA">
        <w:rPr>
          <w:rFonts w:ascii="Times New Roman" w:eastAsia="Times New Roman" w:hAnsi="Times New Roman" w:cs="Times New Roman"/>
          <w:sz w:val="20"/>
          <w:szCs w:val="20"/>
        </w:rPr>
        <w:t>t</w:t>
      </w:r>
      <w:r w:rsidR="003656E8" w:rsidRPr="18F77FEA">
        <w:rPr>
          <w:rFonts w:ascii="Times New Roman" w:eastAsia="Times New Roman" w:hAnsi="Times New Roman" w:cs="Times New Roman"/>
          <w:sz w:val="20"/>
          <w:szCs w:val="20"/>
        </w:rPr>
        <w:t>he TMMSL category of OT-36</w:t>
      </w:r>
      <w:r w:rsidR="00042FC9" w:rsidRPr="18F77FEA">
        <w:rPr>
          <w:rFonts w:ascii="Times New Roman" w:eastAsia="Times New Roman" w:hAnsi="Times New Roman" w:cs="Times New Roman"/>
          <w:sz w:val="20"/>
          <w:szCs w:val="20"/>
        </w:rPr>
        <w:t xml:space="preserve"> (Appendix A)</w:t>
      </w:r>
      <w:r w:rsidR="000E752D" w:rsidRPr="18F77FEA">
        <w:rPr>
          <w:rFonts w:ascii="Times New Roman" w:eastAsia="Times New Roman" w:hAnsi="Times New Roman" w:cs="Times New Roman"/>
          <w:sz w:val="20"/>
          <w:szCs w:val="20"/>
        </w:rPr>
        <w:t>, and</w:t>
      </w:r>
    </w:p>
    <w:p w14:paraId="27B790DA" w14:textId="7EA58F57" w:rsidR="009F7435" w:rsidRDefault="5BEEEC98" w:rsidP="005B0D9E">
      <w:pPr>
        <w:pStyle w:val="ListParagraph"/>
        <w:numPr>
          <w:ilvl w:val="2"/>
          <w:numId w:val="19"/>
        </w:numPr>
        <w:ind w:left="1512" w:right="720"/>
        <w:jc w:val="both"/>
        <w:rPr>
          <w:rFonts w:ascii="Times New Roman" w:eastAsia="Times New Roman" w:hAnsi="Times New Roman" w:cs="Times New Roman"/>
          <w:sz w:val="20"/>
          <w:szCs w:val="20"/>
        </w:rPr>
      </w:pPr>
      <w:bookmarkStart w:id="16" w:name="_Int_XaecEFA3"/>
      <w:r w:rsidRPr="443D3475">
        <w:rPr>
          <w:rFonts w:ascii="Times New Roman" w:eastAsia="Times New Roman" w:hAnsi="Times New Roman" w:cs="Times New Roman"/>
          <w:sz w:val="20"/>
          <w:szCs w:val="20"/>
        </w:rPr>
        <w:t>t</w:t>
      </w:r>
      <w:r w:rsidR="00665F5A" w:rsidRPr="443D3475">
        <w:rPr>
          <w:rFonts w:ascii="Times New Roman" w:eastAsia="Times New Roman" w:hAnsi="Times New Roman" w:cs="Times New Roman"/>
          <w:sz w:val="20"/>
          <w:szCs w:val="20"/>
        </w:rPr>
        <w:t>he</w:t>
      </w:r>
      <w:bookmarkEnd w:id="16"/>
      <w:r w:rsidR="00665F5A" w:rsidRPr="443D3475">
        <w:rPr>
          <w:rFonts w:ascii="Times New Roman" w:eastAsia="Times New Roman" w:hAnsi="Times New Roman" w:cs="Times New Roman"/>
          <w:sz w:val="20"/>
          <w:szCs w:val="20"/>
        </w:rPr>
        <w:t xml:space="preserve"> course meets the quantitative reasoning learning outcomes </w:t>
      </w:r>
      <w:r w:rsidR="009F7435" w:rsidRPr="443D3475">
        <w:rPr>
          <w:rFonts w:ascii="Times New Roman" w:eastAsia="Times New Roman" w:hAnsi="Times New Roman" w:cs="Times New Roman"/>
          <w:sz w:val="20"/>
          <w:szCs w:val="20"/>
        </w:rPr>
        <w:t>for BRICKS (Appendix B)</w:t>
      </w:r>
      <w:r w:rsidR="1EEB6259" w:rsidRPr="443D3475">
        <w:rPr>
          <w:rFonts w:ascii="Times New Roman" w:eastAsia="Times New Roman" w:hAnsi="Times New Roman" w:cs="Times New Roman"/>
          <w:sz w:val="20"/>
          <w:szCs w:val="20"/>
        </w:rPr>
        <w:t>.</w:t>
      </w:r>
    </w:p>
    <w:p w14:paraId="116C3EDB" w14:textId="3C45E007" w:rsidR="00E95A53" w:rsidRDefault="00E95A53"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 xml:space="preserve">An eligible </w:t>
      </w:r>
      <w:r w:rsidR="00E12924" w:rsidRPr="2413CDB7">
        <w:rPr>
          <w:rFonts w:ascii="Times New Roman" w:eastAsia="Times New Roman" w:hAnsi="Times New Roman" w:cs="Times New Roman"/>
          <w:sz w:val="20"/>
          <w:szCs w:val="20"/>
        </w:rPr>
        <w:t xml:space="preserve">course can be </w:t>
      </w:r>
      <w:r w:rsidR="00E5400A" w:rsidRPr="2413CDB7">
        <w:rPr>
          <w:rFonts w:ascii="Times New Roman" w:eastAsia="Times New Roman" w:hAnsi="Times New Roman" w:cs="Times New Roman"/>
          <w:sz w:val="20"/>
          <w:szCs w:val="20"/>
        </w:rPr>
        <w:t xml:space="preserve">conditionally approved for inclusion in BRICKS </w:t>
      </w:r>
      <w:r w:rsidR="000C2C48" w:rsidRPr="2413CDB7">
        <w:rPr>
          <w:rFonts w:ascii="Times New Roman" w:eastAsia="Times New Roman" w:hAnsi="Times New Roman" w:cs="Times New Roman"/>
          <w:sz w:val="20"/>
          <w:szCs w:val="20"/>
        </w:rPr>
        <w:t>through the standard curricular process</w:t>
      </w:r>
      <w:r w:rsidR="0CA63729" w:rsidRPr="2413CDB7">
        <w:rPr>
          <w:rFonts w:ascii="Times New Roman" w:eastAsia="Times New Roman" w:hAnsi="Times New Roman" w:cs="Times New Roman"/>
          <w:sz w:val="20"/>
          <w:szCs w:val="20"/>
        </w:rPr>
        <w:t>.</w:t>
      </w:r>
    </w:p>
    <w:p w14:paraId="4AC855B6" w14:textId="088D57A0" w:rsidR="00F02D8B" w:rsidRPr="00E95A53" w:rsidRDefault="00F02D8B"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lastRenderedPageBreak/>
        <w:t xml:space="preserve">A </w:t>
      </w:r>
      <w:r w:rsidR="00111594" w:rsidRPr="2413CDB7">
        <w:rPr>
          <w:rFonts w:ascii="Times New Roman" w:eastAsia="Times New Roman" w:hAnsi="Times New Roman" w:cs="Times New Roman"/>
          <w:sz w:val="20"/>
          <w:szCs w:val="20"/>
        </w:rPr>
        <w:t>conditionally approved course that matches a</w:t>
      </w:r>
      <w:r w:rsidR="56A0A463" w:rsidRPr="2413CDB7">
        <w:rPr>
          <w:rFonts w:ascii="Times New Roman" w:eastAsia="Times New Roman" w:hAnsi="Times New Roman" w:cs="Times New Roman"/>
          <w:sz w:val="20"/>
          <w:szCs w:val="20"/>
        </w:rPr>
        <w:t>n</w:t>
      </w:r>
      <w:r w:rsidR="00111594" w:rsidRPr="2413CDB7">
        <w:rPr>
          <w:rFonts w:ascii="Times New Roman" w:eastAsia="Times New Roman" w:hAnsi="Times New Roman" w:cs="Times New Roman"/>
          <w:sz w:val="20"/>
          <w:szCs w:val="20"/>
        </w:rPr>
        <w:t xml:space="preserve"> OT-36 </w:t>
      </w:r>
      <w:r w:rsidR="0B90FED6" w:rsidRPr="2413CDB7">
        <w:rPr>
          <w:rFonts w:ascii="Times New Roman" w:eastAsia="Times New Roman" w:hAnsi="Times New Roman" w:cs="Times New Roman"/>
          <w:sz w:val="20"/>
          <w:szCs w:val="20"/>
        </w:rPr>
        <w:t>MSL</w:t>
      </w:r>
      <w:r w:rsidR="24491854" w:rsidRPr="2413CDB7">
        <w:rPr>
          <w:rFonts w:ascii="Times New Roman" w:eastAsia="Times New Roman" w:hAnsi="Times New Roman" w:cs="Times New Roman"/>
          <w:sz w:val="20"/>
          <w:szCs w:val="20"/>
        </w:rPr>
        <w:t xml:space="preserve"> </w:t>
      </w:r>
      <w:r w:rsidR="00111594" w:rsidRPr="2413CDB7">
        <w:rPr>
          <w:rFonts w:ascii="Times New Roman" w:eastAsia="Times New Roman" w:hAnsi="Times New Roman" w:cs="Times New Roman"/>
          <w:sz w:val="20"/>
          <w:szCs w:val="20"/>
        </w:rPr>
        <w:t>category</w:t>
      </w:r>
      <w:r w:rsidR="00D550B0" w:rsidRPr="2413CDB7">
        <w:rPr>
          <w:rFonts w:ascii="Times New Roman" w:eastAsia="Times New Roman" w:hAnsi="Times New Roman" w:cs="Times New Roman"/>
          <w:sz w:val="20"/>
          <w:szCs w:val="20"/>
        </w:rPr>
        <w:t xml:space="preserve"> should be </w:t>
      </w:r>
      <w:r w:rsidR="0091581A" w:rsidRPr="2413CDB7">
        <w:rPr>
          <w:rFonts w:ascii="Times New Roman" w:eastAsia="Times New Roman" w:hAnsi="Times New Roman" w:cs="Times New Roman"/>
          <w:sz w:val="20"/>
          <w:szCs w:val="20"/>
        </w:rPr>
        <w:t>submitted to the state panel</w:t>
      </w:r>
      <w:r w:rsidR="005F5762" w:rsidRPr="2413CDB7">
        <w:rPr>
          <w:rFonts w:ascii="Times New Roman" w:eastAsia="Times New Roman" w:hAnsi="Times New Roman" w:cs="Times New Roman"/>
          <w:sz w:val="20"/>
          <w:szCs w:val="20"/>
        </w:rPr>
        <w:t>, and the normal curricular process (including any appeal) will be in place.</w:t>
      </w:r>
    </w:p>
    <w:p w14:paraId="54F2884B" w14:textId="4B75D9F5" w:rsidR="006D15E3" w:rsidRDefault="00FF65F8" w:rsidP="005B0D9E">
      <w:pPr>
        <w:pStyle w:val="ListParagraph"/>
        <w:numPr>
          <w:ilvl w:val="0"/>
          <w:numId w:val="18"/>
        </w:numPr>
        <w:ind w:left="1080" w:right="720"/>
        <w:jc w:val="both"/>
        <w:rPr>
          <w:rFonts w:ascii="Times New Roman" w:eastAsia="Times New Roman" w:hAnsi="Times New Roman" w:cs="Times New Roman"/>
          <w:sz w:val="20"/>
          <w:szCs w:val="20"/>
        </w:rPr>
      </w:pPr>
      <w:r w:rsidRPr="2413CDB7">
        <w:rPr>
          <w:rFonts w:ascii="Times New Roman" w:eastAsia="Times New Roman" w:hAnsi="Times New Roman" w:cs="Times New Roman"/>
          <w:sz w:val="20"/>
          <w:szCs w:val="20"/>
        </w:rPr>
        <w:t>A conditionally approved course that does NOT</w:t>
      </w:r>
      <w:r w:rsidR="005F5762" w:rsidRPr="2413CDB7">
        <w:rPr>
          <w:rFonts w:ascii="Times New Roman" w:eastAsia="Times New Roman" w:hAnsi="Times New Roman" w:cs="Times New Roman"/>
          <w:sz w:val="20"/>
          <w:szCs w:val="20"/>
        </w:rPr>
        <w:t xml:space="preserve"> match an OT-36 </w:t>
      </w:r>
      <w:r w:rsidR="599091EE" w:rsidRPr="2413CDB7">
        <w:rPr>
          <w:rFonts w:ascii="Times New Roman" w:eastAsia="Times New Roman" w:hAnsi="Times New Roman" w:cs="Times New Roman"/>
          <w:sz w:val="20"/>
          <w:szCs w:val="20"/>
        </w:rPr>
        <w:t xml:space="preserve">MSL </w:t>
      </w:r>
      <w:r w:rsidR="005F5762" w:rsidRPr="2413CDB7">
        <w:rPr>
          <w:rFonts w:ascii="Times New Roman" w:eastAsia="Times New Roman" w:hAnsi="Times New Roman" w:cs="Times New Roman"/>
          <w:sz w:val="20"/>
          <w:szCs w:val="20"/>
        </w:rPr>
        <w:t>category</w:t>
      </w:r>
      <w:r w:rsidRPr="2413CDB7">
        <w:rPr>
          <w:rFonts w:ascii="Times New Roman" w:eastAsia="Times New Roman" w:hAnsi="Times New Roman" w:cs="Times New Roman"/>
          <w:sz w:val="20"/>
          <w:szCs w:val="20"/>
        </w:rPr>
        <w:t xml:space="preserve"> </w:t>
      </w:r>
      <w:r w:rsidR="00665385" w:rsidRPr="2413CDB7">
        <w:rPr>
          <w:rFonts w:ascii="Times New Roman" w:eastAsia="Times New Roman" w:hAnsi="Times New Roman" w:cs="Times New Roman"/>
          <w:sz w:val="20"/>
          <w:szCs w:val="20"/>
        </w:rPr>
        <w:t xml:space="preserve">must be evaluated by a faculty panel through a local process analogous to </w:t>
      </w:r>
      <w:r w:rsidR="00823E9B" w:rsidRPr="2413CDB7">
        <w:rPr>
          <w:rFonts w:ascii="Times New Roman" w:eastAsia="Times New Roman" w:hAnsi="Times New Roman" w:cs="Times New Roman"/>
          <w:sz w:val="20"/>
          <w:szCs w:val="20"/>
        </w:rPr>
        <w:t>our appeal process</w:t>
      </w:r>
      <w:r w:rsidR="00493816" w:rsidRPr="2413CDB7">
        <w:rPr>
          <w:rFonts w:ascii="Times New Roman" w:eastAsia="Times New Roman" w:hAnsi="Times New Roman" w:cs="Times New Roman"/>
          <w:sz w:val="20"/>
          <w:szCs w:val="20"/>
        </w:rPr>
        <w:t>.</w:t>
      </w:r>
      <w:r w:rsidR="00823E9B" w:rsidRPr="2413CDB7">
        <w:rPr>
          <w:rFonts w:ascii="Times New Roman" w:eastAsia="Times New Roman" w:hAnsi="Times New Roman" w:cs="Times New Roman"/>
          <w:sz w:val="20"/>
          <w:szCs w:val="20"/>
        </w:rPr>
        <w:t xml:space="preserve"> This will consist of the following steps:</w:t>
      </w:r>
    </w:p>
    <w:p w14:paraId="472AA08F" w14:textId="5979F198" w:rsidR="008A2D52" w:rsidRDefault="0061676E" w:rsidP="005B0D9E">
      <w:pPr>
        <w:pStyle w:val="ListParagraph"/>
        <w:numPr>
          <w:ilvl w:val="2"/>
          <w:numId w:val="21"/>
        </w:numPr>
        <w:ind w:right="720"/>
        <w:jc w:val="both"/>
        <w:rPr>
          <w:rFonts w:ascii="Times New Roman" w:eastAsia="Times New Roman" w:hAnsi="Times New Roman" w:cs="Times New Roman"/>
          <w:sz w:val="20"/>
          <w:szCs w:val="20"/>
        </w:rPr>
      </w:pPr>
      <w:r w:rsidRPr="443D3475">
        <w:rPr>
          <w:rFonts w:ascii="Times New Roman" w:eastAsia="Times New Roman" w:hAnsi="Times New Roman" w:cs="Times New Roman"/>
          <w:sz w:val="20"/>
          <w:szCs w:val="20"/>
        </w:rPr>
        <w:t xml:space="preserve">The chair of </w:t>
      </w:r>
      <w:bookmarkStart w:id="17" w:name="_Int_PZWz8eqG"/>
      <w:r w:rsidR="3EC40A80" w:rsidRPr="443D3475">
        <w:rPr>
          <w:rFonts w:ascii="Times New Roman" w:eastAsia="Times New Roman" w:hAnsi="Times New Roman" w:cs="Times New Roman"/>
          <w:sz w:val="20"/>
          <w:szCs w:val="20"/>
        </w:rPr>
        <w:t>UCC (University Curriculum Council)</w:t>
      </w:r>
      <w:bookmarkEnd w:id="17"/>
      <w:r w:rsidRPr="443D3475">
        <w:rPr>
          <w:rFonts w:ascii="Times New Roman" w:eastAsia="Times New Roman" w:hAnsi="Times New Roman" w:cs="Times New Roman"/>
          <w:sz w:val="20"/>
          <w:szCs w:val="20"/>
        </w:rPr>
        <w:t xml:space="preserve"> shall appoint a panel of three to five </w:t>
      </w:r>
      <w:r w:rsidR="0F931AF0" w:rsidRPr="443D3475">
        <w:rPr>
          <w:rFonts w:ascii="Times New Roman" w:eastAsia="Times New Roman" w:hAnsi="Times New Roman" w:cs="Times New Roman"/>
          <w:sz w:val="20"/>
          <w:szCs w:val="20"/>
        </w:rPr>
        <w:t>faculty members</w:t>
      </w:r>
      <w:r w:rsidRPr="443D3475">
        <w:rPr>
          <w:rFonts w:ascii="Times New Roman" w:eastAsia="Times New Roman" w:hAnsi="Times New Roman" w:cs="Times New Roman"/>
          <w:sz w:val="20"/>
          <w:szCs w:val="20"/>
        </w:rPr>
        <w:t xml:space="preserve"> with expertise in mathematics, statistics, or logic.</w:t>
      </w:r>
      <w:r w:rsidR="00BD5CBC" w:rsidRPr="443D3475">
        <w:rPr>
          <w:rFonts w:ascii="Times New Roman" w:eastAsia="Times New Roman" w:hAnsi="Times New Roman" w:cs="Times New Roman"/>
          <w:sz w:val="20"/>
          <w:szCs w:val="20"/>
        </w:rPr>
        <w:t xml:space="preserve"> The chair of UCC shall also appoint one ad-hoc (non-voting) member from GEC or </w:t>
      </w:r>
      <w:bookmarkStart w:id="18" w:name="_Int_ADxSb6F0"/>
      <w:r w:rsidR="09198B16" w:rsidRPr="443D3475">
        <w:rPr>
          <w:rFonts w:ascii="Times New Roman" w:eastAsia="Times New Roman" w:hAnsi="Times New Roman" w:cs="Times New Roman"/>
          <w:sz w:val="20"/>
          <w:szCs w:val="20"/>
        </w:rPr>
        <w:t>ICC (Individual Course Committee)</w:t>
      </w:r>
      <w:bookmarkEnd w:id="18"/>
      <w:r w:rsidR="00BD5CBC" w:rsidRPr="443D3475">
        <w:rPr>
          <w:rFonts w:ascii="Times New Roman" w:eastAsia="Times New Roman" w:hAnsi="Times New Roman" w:cs="Times New Roman"/>
          <w:sz w:val="20"/>
          <w:szCs w:val="20"/>
        </w:rPr>
        <w:t xml:space="preserve"> to serve as the UCC advisor to the panel.</w:t>
      </w:r>
    </w:p>
    <w:p w14:paraId="73E53716" w14:textId="77777777" w:rsidR="00B04020" w:rsidRDefault="008A2D52" w:rsidP="005B0D9E">
      <w:pPr>
        <w:pStyle w:val="ListParagraph"/>
        <w:numPr>
          <w:ilvl w:val="2"/>
          <w:numId w:val="21"/>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department sponsoring the </w:t>
      </w:r>
      <w:r w:rsidR="00B04020" w:rsidRPr="18F77FEA">
        <w:rPr>
          <w:rFonts w:ascii="Times New Roman" w:eastAsia="Times New Roman" w:hAnsi="Times New Roman" w:cs="Times New Roman"/>
          <w:sz w:val="20"/>
          <w:szCs w:val="20"/>
        </w:rPr>
        <w:t>course should submit the following documents to the panel:</w:t>
      </w:r>
    </w:p>
    <w:p w14:paraId="0DF5242B" w14:textId="77777777" w:rsidR="007911F0" w:rsidRDefault="00B0402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A narrative explaining how the course meets the eligibility requirements for inclusion </w:t>
      </w:r>
      <w:r w:rsidR="00AA4D3B" w:rsidRPr="18F77FEA">
        <w:rPr>
          <w:rFonts w:ascii="Times New Roman" w:eastAsia="Times New Roman" w:hAnsi="Times New Roman" w:cs="Times New Roman"/>
          <w:sz w:val="20"/>
          <w:szCs w:val="20"/>
        </w:rPr>
        <w:t>as a quantitative course in BRICKS</w:t>
      </w:r>
    </w:p>
    <w:p w14:paraId="15B2F87A" w14:textId="77777777" w:rsidR="007911F0" w:rsidRDefault="007911F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Copies of course information from OCEAN</w:t>
      </w:r>
    </w:p>
    <w:p w14:paraId="0B39AAE4" w14:textId="77777777" w:rsidR="007911F0" w:rsidRDefault="007911F0" w:rsidP="005B0D9E">
      <w:pPr>
        <w:pStyle w:val="ListParagraph"/>
        <w:numPr>
          <w:ilvl w:val="3"/>
          <w:numId w:val="18"/>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Sample syllabus</w:t>
      </w:r>
    </w:p>
    <w:p w14:paraId="04175238" w14:textId="10F5A081" w:rsidR="00BF50CF" w:rsidRDefault="0011154C" w:rsidP="005B0D9E">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The faculty panel will review </w:t>
      </w:r>
      <w:r w:rsidR="00FA3708" w:rsidRPr="18F77FEA">
        <w:rPr>
          <w:rFonts w:ascii="Times New Roman" w:eastAsia="Times New Roman" w:hAnsi="Times New Roman" w:cs="Times New Roman"/>
          <w:sz w:val="20"/>
          <w:szCs w:val="20"/>
        </w:rPr>
        <w:t xml:space="preserve">the </w:t>
      </w:r>
      <w:r w:rsidR="00B94030" w:rsidRPr="18F77FEA">
        <w:rPr>
          <w:rFonts w:ascii="Times New Roman" w:eastAsia="Times New Roman" w:hAnsi="Times New Roman" w:cs="Times New Roman"/>
          <w:sz w:val="20"/>
          <w:szCs w:val="20"/>
        </w:rPr>
        <w:t>submitted material</w:t>
      </w:r>
      <w:r w:rsidR="00A805AE" w:rsidRPr="18F77FEA">
        <w:rPr>
          <w:rFonts w:ascii="Times New Roman" w:eastAsia="Times New Roman" w:hAnsi="Times New Roman" w:cs="Times New Roman"/>
          <w:sz w:val="20"/>
          <w:szCs w:val="20"/>
        </w:rPr>
        <w:t xml:space="preserve">, </w:t>
      </w:r>
      <w:r w:rsidR="00941D9E" w:rsidRPr="18F77FEA">
        <w:rPr>
          <w:rFonts w:ascii="Times New Roman" w:eastAsia="Times New Roman" w:hAnsi="Times New Roman" w:cs="Times New Roman"/>
          <w:sz w:val="20"/>
          <w:szCs w:val="20"/>
        </w:rPr>
        <w:t>and a vote is taken on whether the course should be approved for inclusion in BRICKS</w:t>
      </w:r>
      <w:r w:rsidR="00EF54F7" w:rsidRPr="18F77FEA">
        <w:rPr>
          <w:rFonts w:ascii="Times New Roman" w:eastAsia="Times New Roman" w:hAnsi="Times New Roman" w:cs="Times New Roman"/>
          <w:sz w:val="20"/>
          <w:szCs w:val="20"/>
        </w:rPr>
        <w:t xml:space="preserve"> based on the eligibility criteria in Appendix A and Appendix B.</w:t>
      </w:r>
    </w:p>
    <w:p w14:paraId="78D28808" w14:textId="71CFF151" w:rsidR="00B542F0" w:rsidRPr="008901FF" w:rsidRDefault="16A09E90" w:rsidP="005B0D9E">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 xml:space="preserve">A recommendation of </w:t>
      </w:r>
      <w:r w:rsidRPr="18F77FEA">
        <w:rPr>
          <w:rFonts w:ascii="Times New Roman" w:eastAsia="Times New Roman" w:hAnsi="Times New Roman" w:cs="Times New Roman"/>
          <w:i/>
          <w:iCs/>
          <w:sz w:val="20"/>
          <w:szCs w:val="20"/>
        </w:rPr>
        <w:t>approval</w:t>
      </w:r>
      <w:r w:rsidR="08738F81" w:rsidRPr="18F77FEA">
        <w:rPr>
          <w:rFonts w:ascii="Times New Roman" w:eastAsia="Times New Roman" w:hAnsi="Times New Roman" w:cs="Times New Roman"/>
          <w:sz w:val="20"/>
          <w:szCs w:val="20"/>
        </w:rPr>
        <w:t xml:space="preserve"> of the course as an exception to the OT-36 </w:t>
      </w:r>
      <w:r w:rsidR="0AE74D07" w:rsidRPr="18F77FEA">
        <w:rPr>
          <w:rFonts w:ascii="Times New Roman" w:eastAsia="Times New Roman" w:hAnsi="Times New Roman" w:cs="Times New Roman"/>
          <w:sz w:val="20"/>
          <w:szCs w:val="20"/>
        </w:rPr>
        <w:t xml:space="preserve">requirement </w:t>
      </w:r>
      <w:r w:rsidR="29428E33" w:rsidRPr="18F77FEA">
        <w:rPr>
          <w:rFonts w:ascii="Times New Roman" w:eastAsia="Times New Roman" w:hAnsi="Times New Roman" w:cs="Times New Roman"/>
          <w:sz w:val="20"/>
          <w:szCs w:val="20"/>
        </w:rPr>
        <w:t>requires at least 2/3 of the panel to agree that the course meets the eligibility criteria.</w:t>
      </w:r>
      <w:r w:rsidRPr="18F77FEA">
        <w:rPr>
          <w:rFonts w:ascii="Times New Roman" w:eastAsia="Times New Roman" w:hAnsi="Times New Roman" w:cs="Times New Roman"/>
          <w:sz w:val="20"/>
          <w:szCs w:val="20"/>
        </w:rPr>
        <w:t xml:space="preserve"> Otherwise, the recommendation of the panel is for </w:t>
      </w:r>
      <w:r w:rsidRPr="18F77FEA">
        <w:rPr>
          <w:rFonts w:ascii="Times New Roman" w:eastAsia="Times New Roman" w:hAnsi="Times New Roman" w:cs="Times New Roman"/>
          <w:i/>
          <w:iCs/>
          <w:sz w:val="20"/>
          <w:szCs w:val="20"/>
        </w:rPr>
        <w:t>disapproval</w:t>
      </w:r>
      <w:r w:rsidRPr="18F77FEA">
        <w:rPr>
          <w:rFonts w:ascii="Times New Roman" w:eastAsia="Times New Roman" w:hAnsi="Times New Roman" w:cs="Times New Roman"/>
          <w:sz w:val="20"/>
          <w:szCs w:val="20"/>
        </w:rPr>
        <w:t>.</w:t>
      </w:r>
    </w:p>
    <w:p w14:paraId="74181151" w14:textId="055B7AC1" w:rsidR="18F77FEA" w:rsidRPr="001D2059" w:rsidRDefault="002715DC" w:rsidP="18F77FEA">
      <w:pPr>
        <w:pStyle w:val="ListParagraph"/>
        <w:numPr>
          <w:ilvl w:val="2"/>
          <w:numId w:val="20"/>
        </w:numPr>
        <w:ind w:right="720"/>
        <w:jc w:val="both"/>
        <w:rPr>
          <w:rFonts w:ascii="Times New Roman" w:eastAsia="Times New Roman" w:hAnsi="Times New Roman" w:cs="Times New Roman"/>
          <w:sz w:val="20"/>
          <w:szCs w:val="20"/>
        </w:rPr>
      </w:pPr>
      <w:r w:rsidRPr="18F77FEA">
        <w:rPr>
          <w:rFonts w:ascii="Times New Roman" w:eastAsia="Times New Roman" w:hAnsi="Times New Roman" w:cs="Times New Roman"/>
          <w:sz w:val="20"/>
          <w:szCs w:val="20"/>
        </w:rPr>
        <w:t>Faculty panel re</w:t>
      </w:r>
      <w:r w:rsidR="0003562B" w:rsidRPr="18F77FEA">
        <w:rPr>
          <w:rFonts w:ascii="Times New Roman" w:eastAsia="Times New Roman" w:hAnsi="Times New Roman" w:cs="Times New Roman"/>
          <w:sz w:val="20"/>
          <w:szCs w:val="20"/>
        </w:rPr>
        <w:t>commendations will be submitted to GEC and ICC</w:t>
      </w:r>
      <w:bookmarkStart w:id="19" w:name="_Int_xEQFPTsi"/>
      <w:r w:rsidR="2EA760C7" w:rsidRPr="18F77FEA">
        <w:rPr>
          <w:rFonts w:ascii="Times New Roman" w:eastAsia="Times New Roman" w:hAnsi="Times New Roman" w:cs="Times New Roman"/>
          <w:sz w:val="20"/>
          <w:szCs w:val="20"/>
        </w:rPr>
        <w:t xml:space="preserve">. </w:t>
      </w:r>
      <w:bookmarkEnd w:id="19"/>
      <w:r w:rsidR="008901FF" w:rsidRPr="18F77FEA">
        <w:rPr>
          <w:rFonts w:ascii="Times New Roman" w:eastAsia="Times New Roman" w:hAnsi="Times New Roman" w:cs="Times New Roman"/>
          <w:sz w:val="20"/>
          <w:szCs w:val="20"/>
        </w:rPr>
        <w:t>Following this, ICC will submit recommendations to UCC at the next UCC meeting for a full UCC vote.</w:t>
      </w:r>
      <w:bookmarkEnd w:id="0"/>
    </w:p>
    <w:p w14:paraId="0E0D595A" w14:textId="77777777" w:rsidR="001D2059" w:rsidRDefault="001D2059">
      <w:pPr>
        <w:rPr>
          <w:rStyle w:val="normaltextrun"/>
          <w:rFonts w:ascii="Calibri" w:eastAsia="Times New Roman" w:hAnsi="Calibri" w:cs="Calibri"/>
          <w:b/>
          <w:bCs/>
          <w:color w:val="006848"/>
          <w:sz w:val="28"/>
          <w:szCs w:val="28"/>
        </w:rPr>
      </w:pPr>
      <w:r>
        <w:rPr>
          <w:rStyle w:val="normaltextrun"/>
          <w:rFonts w:ascii="Calibri" w:hAnsi="Calibri" w:cs="Calibri"/>
          <w:b/>
          <w:bCs/>
          <w:color w:val="006848"/>
          <w:sz w:val="28"/>
          <w:szCs w:val="28"/>
        </w:rPr>
        <w:br w:type="page"/>
      </w:r>
    </w:p>
    <w:p w14:paraId="0C1D8704" w14:textId="60614127"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lastRenderedPageBreak/>
        <w:t>Appendix A: Ohio Transfer 36 Requirements</w:t>
      </w:r>
      <w:r>
        <w:rPr>
          <w:rStyle w:val="eop"/>
          <w:rFonts w:ascii="Calibri" w:hAnsi="Calibri" w:cs="Calibri"/>
          <w:color w:val="006848"/>
          <w:sz w:val="28"/>
          <w:szCs w:val="28"/>
        </w:rPr>
        <w:t> </w:t>
      </w:r>
    </w:p>
    <w:p w14:paraId="63D16DBB" w14:textId="77777777" w:rsidR="001D2059" w:rsidRDefault="001D2059" w:rsidP="001D20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6B917F"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Ohio Transfer 36 Mathematics, Statistics, and Logic courses must satisfy the following:</w:t>
      </w:r>
      <w:r>
        <w:rPr>
          <w:rStyle w:val="eop"/>
          <w:sz w:val="22"/>
          <w:szCs w:val="22"/>
        </w:rPr>
        <w:t> </w:t>
      </w:r>
    </w:p>
    <w:p w14:paraId="433BABF9"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4543555B"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6848"/>
          <w:sz w:val="22"/>
          <w:szCs w:val="22"/>
        </w:rPr>
        <w:t>Guidelines</w:t>
      </w:r>
      <w:r>
        <w:rPr>
          <w:rStyle w:val="eop"/>
          <w:rFonts w:ascii="Calibri" w:hAnsi="Calibri" w:cs="Calibri"/>
          <w:color w:val="006848"/>
          <w:sz w:val="22"/>
          <w:szCs w:val="22"/>
        </w:rPr>
        <w:t> </w:t>
      </w:r>
    </w:p>
    <w:p w14:paraId="65D1935D"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36DF0E41" w14:textId="54BCB0A5"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A credit-bearing, college-level course in Mathematics must use the standards required for high school graduation by the State of Ohio as a basis and must do at least one of the following: 1) broaden, or 2) deepen, or 3) extend the student’s learning. </w:t>
      </w:r>
      <w:r>
        <w:rPr>
          <w:rStyle w:val="eop"/>
          <w:sz w:val="22"/>
          <w:szCs w:val="22"/>
        </w:rPr>
        <w:t> </w:t>
      </w:r>
    </w:p>
    <w:p w14:paraId="490DB62A" w14:textId="77777777" w:rsidR="001D2059" w:rsidRPr="001D2059" w:rsidRDefault="001D2059" w:rsidP="00A44523">
      <w:pPr>
        <w:pStyle w:val="paragraph"/>
        <w:spacing w:before="0" w:beforeAutospacing="0" w:after="0" w:afterAutospacing="0"/>
        <w:jc w:val="both"/>
        <w:textAlignment w:val="baseline"/>
        <w:rPr>
          <w:rFonts w:ascii="Segoe UI" w:hAnsi="Segoe UI" w:cs="Segoe UI"/>
          <w:sz w:val="18"/>
          <w:szCs w:val="18"/>
        </w:rPr>
      </w:pPr>
    </w:p>
    <w:p w14:paraId="00BF321E" w14:textId="30AD5A8B"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The course does not cover variable learning outcomes from term to term.</w:t>
      </w:r>
      <w:r>
        <w:rPr>
          <w:rStyle w:val="eop"/>
          <w:sz w:val="22"/>
          <w:szCs w:val="22"/>
        </w:rPr>
        <w:t> </w:t>
      </w:r>
    </w:p>
    <w:p w14:paraId="0C1559BC" w14:textId="77777777" w:rsidR="001D2059" w:rsidRPr="001D2059" w:rsidRDefault="001D2059" w:rsidP="00A44523">
      <w:pPr>
        <w:pStyle w:val="paragraph"/>
        <w:spacing w:before="0" w:beforeAutospacing="0" w:after="0" w:afterAutospacing="0"/>
        <w:ind w:left="-720"/>
        <w:jc w:val="both"/>
        <w:textAlignment w:val="baseline"/>
        <w:rPr>
          <w:rFonts w:ascii="Segoe UI" w:hAnsi="Segoe UI" w:cs="Segoe UI"/>
          <w:sz w:val="18"/>
          <w:szCs w:val="18"/>
        </w:rPr>
      </w:pPr>
    </w:p>
    <w:p w14:paraId="0C10668F" w14:textId="057743DE" w:rsidR="001D2059" w:rsidRDefault="001D2059" w:rsidP="00A44523">
      <w:pPr>
        <w:pStyle w:val="paragraph"/>
        <w:numPr>
          <w:ilvl w:val="0"/>
          <w:numId w:val="33"/>
        </w:numPr>
        <w:spacing w:before="0" w:beforeAutospacing="0" w:after="0" w:afterAutospacing="0"/>
        <w:ind w:left="360"/>
        <w:jc w:val="both"/>
        <w:textAlignment w:val="baseline"/>
        <w:rPr>
          <w:rStyle w:val="eop"/>
          <w:sz w:val="22"/>
          <w:szCs w:val="22"/>
        </w:rPr>
      </w:pPr>
      <w:r>
        <w:rPr>
          <w:rStyle w:val="normaltextrun"/>
          <w:sz w:val="22"/>
          <w:szCs w:val="22"/>
        </w:rPr>
        <w:t>The course is not an upper-division course.</w:t>
      </w:r>
      <w:r>
        <w:rPr>
          <w:rStyle w:val="eop"/>
          <w:sz w:val="22"/>
          <w:szCs w:val="22"/>
        </w:rPr>
        <w:t> </w:t>
      </w:r>
    </w:p>
    <w:p w14:paraId="301F86E8" w14:textId="77777777" w:rsidR="001D2059" w:rsidRPr="001D2059" w:rsidRDefault="001D2059" w:rsidP="00A44523">
      <w:pPr>
        <w:pStyle w:val="paragraph"/>
        <w:spacing w:before="0" w:beforeAutospacing="0" w:after="0" w:afterAutospacing="0"/>
        <w:ind w:left="-720"/>
        <w:jc w:val="both"/>
        <w:textAlignment w:val="baseline"/>
        <w:rPr>
          <w:rFonts w:ascii="Segoe UI" w:hAnsi="Segoe UI" w:cs="Segoe UI"/>
          <w:sz w:val="18"/>
          <w:szCs w:val="18"/>
        </w:rPr>
      </w:pPr>
    </w:p>
    <w:p w14:paraId="70AC4420" w14:textId="237707DE" w:rsidR="001D2059" w:rsidRPr="001D2059" w:rsidRDefault="001D2059" w:rsidP="00A44523">
      <w:pPr>
        <w:pStyle w:val="paragraph"/>
        <w:numPr>
          <w:ilvl w:val="0"/>
          <w:numId w:val="33"/>
        </w:numPr>
        <w:spacing w:before="0" w:beforeAutospacing="0" w:after="0" w:afterAutospacing="0"/>
        <w:ind w:left="360"/>
        <w:jc w:val="both"/>
        <w:textAlignment w:val="baseline"/>
        <w:rPr>
          <w:rStyle w:val="normaltextrun"/>
          <w:rFonts w:ascii="Segoe UI" w:hAnsi="Segoe UI" w:cs="Segoe UI"/>
          <w:sz w:val="18"/>
          <w:szCs w:val="18"/>
        </w:rPr>
      </w:pPr>
      <w:r>
        <w:rPr>
          <w:rStyle w:val="normaltextrun"/>
          <w:sz w:val="22"/>
          <w:szCs w:val="22"/>
        </w:rPr>
        <w:t>The course is in the areas of mathematics, or statistics, or logic. </w:t>
      </w:r>
    </w:p>
    <w:p w14:paraId="33D6CE72" w14:textId="7973F5DE" w:rsidR="001D2059" w:rsidRDefault="001D2059" w:rsidP="00A44523">
      <w:pPr>
        <w:pStyle w:val="paragraph"/>
        <w:spacing w:before="0" w:beforeAutospacing="0" w:after="0" w:afterAutospacing="0"/>
        <w:ind w:left="360"/>
        <w:jc w:val="both"/>
        <w:textAlignment w:val="baseline"/>
        <w:rPr>
          <w:sz w:val="22"/>
          <w:szCs w:val="22"/>
        </w:rPr>
      </w:pPr>
      <w:r>
        <w:rPr>
          <w:rStyle w:val="eop"/>
          <w:sz w:val="22"/>
          <w:szCs w:val="22"/>
        </w:rPr>
        <w:t> </w:t>
      </w:r>
    </w:p>
    <w:p w14:paraId="0672C4ED" w14:textId="2C1A6C12" w:rsidR="001D2059" w:rsidRDefault="001D2059" w:rsidP="001D2059">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Excluded Courses</w:t>
      </w:r>
    </w:p>
    <w:p w14:paraId="71F34637" w14:textId="77777777" w:rsidR="001D2059" w:rsidRPr="001D2059" w:rsidRDefault="001D2059" w:rsidP="001D2059">
      <w:pPr>
        <w:pStyle w:val="paragraph"/>
        <w:spacing w:before="0" w:beforeAutospacing="0" w:after="0" w:afterAutospacing="0"/>
        <w:jc w:val="both"/>
        <w:textAlignment w:val="baseline"/>
        <w:rPr>
          <w:rFonts w:ascii="Calibri" w:hAnsi="Calibri" w:cs="Calibri"/>
          <w:color w:val="006848"/>
          <w:sz w:val="22"/>
          <w:szCs w:val="22"/>
        </w:rPr>
      </w:pPr>
    </w:p>
    <w:p w14:paraId="60BE30D6"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 Remedial or developmental courses, special topics courses, narrowly focused courses, technical or pre-technical courses and skills-based courses. </w:t>
      </w:r>
      <w:r>
        <w:rPr>
          <w:rStyle w:val="eop"/>
          <w:sz w:val="22"/>
          <w:szCs w:val="22"/>
        </w:rPr>
        <w:t> </w:t>
      </w:r>
    </w:p>
    <w:p w14:paraId="04250618"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7B6477E7"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 Courses that focus exclusively on content coverage without addressing the learning outcomes for the Ohio Transfer 36. </w:t>
      </w:r>
      <w:r>
        <w:rPr>
          <w:rStyle w:val="eop"/>
          <w:sz w:val="22"/>
          <w:szCs w:val="22"/>
        </w:rPr>
        <w:t> </w:t>
      </w:r>
    </w:p>
    <w:p w14:paraId="6D4BB060"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5858C3EA" w14:textId="3BB3BD5A" w:rsidR="001D2059" w:rsidRDefault="001D2059" w:rsidP="001D2059">
      <w:pPr>
        <w:pStyle w:val="paragraph"/>
        <w:spacing w:before="0" w:beforeAutospacing="0" w:after="0" w:afterAutospacing="0"/>
        <w:jc w:val="both"/>
        <w:textAlignment w:val="baseline"/>
        <w:rPr>
          <w:rStyle w:val="normaltextrun"/>
          <w:sz w:val="22"/>
          <w:szCs w:val="22"/>
        </w:rPr>
      </w:pPr>
      <w:r>
        <w:rPr>
          <w:rStyle w:val="normaltextrun"/>
          <w:sz w:val="22"/>
          <w:szCs w:val="22"/>
        </w:rPr>
        <w:t>• Career preparation courses, non-credit continuing education courses, and life experience courses (unless life experience credit, such as military training or other prior learning experience, becomes approved in the future for an Ohio Transfer 36 credit by the statewide faculty review panel).</w:t>
      </w:r>
    </w:p>
    <w:p w14:paraId="61BE662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p>
    <w:p w14:paraId="4E6D9B7D" w14:textId="77777777" w:rsidR="001D2059" w:rsidRDefault="001D2059">
      <w:pPr>
        <w:rPr>
          <w:rStyle w:val="normaltextrun"/>
          <w:rFonts w:ascii="Calibri" w:eastAsia="Times New Roman" w:hAnsi="Calibri" w:cs="Calibri"/>
          <w:b/>
          <w:bCs/>
          <w:color w:val="006848"/>
          <w:sz w:val="28"/>
          <w:szCs w:val="28"/>
        </w:rPr>
      </w:pPr>
      <w:r>
        <w:rPr>
          <w:rStyle w:val="normaltextrun"/>
          <w:rFonts w:ascii="Calibri" w:hAnsi="Calibri" w:cs="Calibri"/>
          <w:b/>
          <w:bCs/>
          <w:color w:val="006848"/>
          <w:sz w:val="28"/>
          <w:szCs w:val="28"/>
        </w:rPr>
        <w:br w:type="page"/>
      </w:r>
    </w:p>
    <w:p w14:paraId="6060D088" w14:textId="630EEB81"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006848"/>
          <w:sz w:val="28"/>
          <w:szCs w:val="28"/>
        </w:rPr>
        <w:lastRenderedPageBreak/>
        <w:t>Appendix B: BRICKS Quantitative Reasoning Outcomes</w:t>
      </w:r>
      <w:r>
        <w:rPr>
          <w:rStyle w:val="eop"/>
          <w:rFonts w:ascii="Calibri" w:hAnsi="Calibri" w:cs="Calibri"/>
          <w:color w:val="006848"/>
          <w:sz w:val="28"/>
          <w:szCs w:val="28"/>
        </w:rPr>
        <w:t> </w:t>
      </w:r>
    </w:p>
    <w:p w14:paraId="7D2CDA27" w14:textId="77777777" w:rsidR="001D2059" w:rsidRDefault="001D2059" w:rsidP="001D2059">
      <w:pPr>
        <w:pStyle w:val="paragraph"/>
        <w:spacing w:before="0" w:beforeAutospacing="0" w:after="0" w:afterAutospacing="0"/>
        <w:textAlignment w:val="baseline"/>
        <w:rPr>
          <w:rFonts w:ascii="Segoe UI" w:hAnsi="Segoe UI" w:cs="Segoe UI"/>
          <w:color w:val="2F5496"/>
          <w:sz w:val="18"/>
          <w:szCs w:val="18"/>
        </w:rPr>
      </w:pPr>
      <w:r>
        <w:rPr>
          <w:rStyle w:val="eop"/>
          <w:color w:val="2F5496"/>
          <w:sz w:val="26"/>
          <w:szCs w:val="26"/>
        </w:rPr>
        <w:t> </w:t>
      </w:r>
    </w:p>
    <w:p w14:paraId="3CBA07D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Consistent with AAC&amp;U’s (2009) VALUE rubrics, Ohio University defines quantitative reasoning as “a habit of mind, competency, and comfort in working with numerical data.”</w:t>
      </w:r>
      <w:r>
        <w:rPr>
          <w:rStyle w:val="eop"/>
          <w:sz w:val="22"/>
          <w:szCs w:val="22"/>
        </w:rPr>
        <w:t> </w:t>
      </w:r>
    </w:p>
    <w:p w14:paraId="47CAF4A8"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018A40D"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Individuals with strong quantitative reasoning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Pr>
          <w:rStyle w:val="eop"/>
          <w:sz w:val="22"/>
          <w:szCs w:val="22"/>
        </w:rPr>
        <w:t> </w:t>
      </w:r>
    </w:p>
    <w:p w14:paraId="5C5A6A7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3B2B4EB"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Courses, programs, or learning experiences designated as teaching quantitative reasoning will provide opportunities for learners to develop quantitative reasoning skills through the following course-embedded learning experiences.</w:t>
      </w:r>
      <w:r>
        <w:rPr>
          <w:rStyle w:val="eop"/>
          <w:sz w:val="22"/>
          <w:szCs w:val="22"/>
        </w:rPr>
        <w:t> </w:t>
      </w:r>
    </w:p>
    <w:p w14:paraId="38110A2E" w14:textId="77777777" w:rsidR="004E4EAD" w:rsidRDefault="004E4EAD" w:rsidP="001D2059">
      <w:pPr>
        <w:pStyle w:val="paragraph"/>
        <w:spacing w:before="0" w:beforeAutospacing="0" w:after="0" w:afterAutospacing="0"/>
        <w:jc w:val="both"/>
        <w:textAlignment w:val="baseline"/>
        <w:rPr>
          <w:rFonts w:ascii="Segoe UI" w:hAnsi="Segoe UI" w:cs="Segoe UI"/>
          <w:sz w:val="18"/>
          <w:szCs w:val="18"/>
        </w:rPr>
      </w:pPr>
    </w:p>
    <w:p w14:paraId="49D34781" w14:textId="77777777" w:rsidR="001D2059" w:rsidRDefault="001D2059" w:rsidP="004E4EAD">
      <w:pPr>
        <w:pStyle w:val="paragraph"/>
        <w:numPr>
          <w:ilvl w:val="0"/>
          <w:numId w:val="36"/>
        </w:numPr>
        <w:spacing w:before="0" w:beforeAutospacing="0" w:after="0" w:afterAutospacing="0"/>
        <w:ind w:left="1080"/>
        <w:jc w:val="both"/>
        <w:textAlignment w:val="baseline"/>
        <w:rPr>
          <w:rStyle w:val="eop"/>
          <w:sz w:val="22"/>
          <w:szCs w:val="22"/>
        </w:rPr>
      </w:pPr>
      <w:r>
        <w:rPr>
          <w:rStyle w:val="normaltextrun"/>
          <w:sz w:val="22"/>
          <w:szCs w:val="22"/>
        </w:rPr>
        <w:t>Learners will evaluate arguments in a logical fashion and develop competence in analysis and logical argument.</w:t>
      </w:r>
      <w:r>
        <w:rPr>
          <w:rStyle w:val="eop"/>
          <w:sz w:val="22"/>
          <w:szCs w:val="22"/>
        </w:rPr>
        <w:t> </w:t>
      </w:r>
    </w:p>
    <w:p w14:paraId="45932F72" w14:textId="77777777" w:rsidR="00A44523" w:rsidRDefault="00A44523" w:rsidP="004E4EAD">
      <w:pPr>
        <w:pStyle w:val="paragraph"/>
        <w:spacing w:before="0" w:beforeAutospacing="0" w:after="0" w:afterAutospacing="0"/>
        <w:ind w:left="360"/>
        <w:jc w:val="both"/>
        <w:textAlignment w:val="baseline"/>
        <w:rPr>
          <w:sz w:val="22"/>
          <w:szCs w:val="22"/>
        </w:rPr>
      </w:pPr>
    </w:p>
    <w:p w14:paraId="496AF92D" w14:textId="3A8FF6A4" w:rsidR="001D2059" w:rsidRDefault="001D2059" w:rsidP="004E4EAD">
      <w:pPr>
        <w:pStyle w:val="paragraph"/>
        <w:numPr>
          <w:ilvl w:val="0"/>
          <w:numId w:val="35"/>
        </w:numPr>
        <w:spacing w:before="0" w:beforeAutospacing="0" w:after="0" w:afterAutospacing="0"/>
        <w:ind w:left="1080"/>
        <w:jc w:val="both"/>
        <w:textAlignment w:val="baseline"/>
        <w:rPr>
          <w:rStyle w:val="eop"/>
          <w:sz w:val="22"/>
          <w:szCs w:val="22"/>
        </w:rPr>
      </w:pPr>
      <w:r>
        <w:rPr>
          <w:rStyle w:val="normaltextrun"/>
          <w:sz w:val="22"/>
          <w:szCs w:val="22"/>
        </w:rPr>
        <w:t>Learners will develop and use the concepts of numeracy to investigate and explain quantitative relationships and solve problems in a variety of contexts.</w:t>
      </w:r>
    </w:p>
    <w:p w14:paraId="516D31DB" w14:textId="77777777" w:rsidR="00A44523" w:rsidRDefault="00A44523" w:rsidP="004E4EAD">
      <w:pPr>
        <w:pStyle w:val="paragraph"/>
        <w:spacing w:before="0" w:beforeAutospacing="0" w:after="0" w:afterAutospacing="0"/>
        <w:ind w:left="-720"/>
        <w:jc w:val="both"/>
        <w:textAlignment w:val="baseline"/>
        <w:rPr>
          <w:sz w:val="22"/>
          <w:szCs w:val="22"/>
        </w:rPr>
      </w:pPr>
    </w:p>
    <w:p w14:paraId="27E620F8" w14:textId="77777777" w:rsidR="001D2059" w:rsidRDefault="001D2059" w:rsidP="004E4EAD">
      <w:pPr>
        <w:pStyle w:val="paragraph"/>
        <w:numPr>
          <w:ilvl w:val="0"/>
          <w:numId w:val="34"/>
        </w:numPr>
        <w:spacing w:before="0" w:beforeAutospacing="0" w:after="0" w:afterAutospacing="0"/>
        <w:ind w:left="1080"/>
        <w:jc w:val="both"/>
        <w:textAlignment w:val="baseline"/>
        <w:rPr>
          <w:rStyle w:val="eop"/>
          <w:sz w:val="22"/>
          <w:szCs w:val="22"/>
        </w:rPr>
      </w:pPr>
      <w:r>
        <w:rPr>
          <w:rStyle w:val="normaltextrun"/>
          <w:sz w:val="22"/>
          <w:szCs w:val="22"/>
        </w:rPr>
        <w:t>Learners will make decisions by analyzing mathematical models, including situations in which the student must recognize and/or make assumptions.</w:t>
      </w:r>
      <w:r>
        <w:rPr>
          <w:rStyle w:val="eop"/>
          <w:sz w:val="22"/>
          <w:szCs w:val="22"/>
        </w:rPr>
        <w:t> </w:t>
      </w:r>
    </w:p>
    <w:p w14:paraId="2F74B8A8" w14:textId="77777777" w:rsidR="00A44523" w:rsidRDefault="00A44523" w:rsidP="004E4EAD">
      <w:pPr>
        <w:pStyle w:val="paragraph"/>
        <w:spacing w:before="0" w:beforeAutospacing="0" w:after="0" w:afterAutospacing="0"/>
        <w:ind w:left="-1440"/>
        <w:jc w:val="both"/>
        <w:textAlignment w:val="baseline"/>
        <w:rPr>
          <w:sz w:val="22"/>
          <w:szCs w:val="22"/>
        </w:rPr>
      </w:pPr>
    </w:p>
    <w:p w14:paraId="428B99F8" w14:textId="77777777" w:rsidR="001D2059" w:rsidRDefault="001D2059" w:rsidP="004E4EAD">
      <w:pPr>
        <w:pStyle w:val="paragraph"/>
        <w:numPr>
          <w:ilvl w:val="1"/>
          <w:numId w:val="26"/>
        </w:numPr>
        <w:tabs>
          <w:tab w:val="clear" w:pos="1440"/>
          <w:tab w:val="num" w:pos="1080"/>
        </w:tabs>
        <w:spacing w:before="0" w:beforeAutospacing="0" w:after="0" w:afterAutospacing="0"/>
        <w:ind w:left="1080"/>
        <w:jc w:val="both"/>
        <w:textAlignment w:val="baseline"/>
        <w:rPr>
          <w:sz w:val="22"/>
          <w:szCs w:val="22"/>
        </w:rPr>
      </w:pPr>
      <w:r>
        <w:rPr>
          <w:rStyle w:val="normaltextrun"/>
          <w:sz w:val="22"/>
          <w:szCs w:val="22"/>
        </w:rPr>
        <w:t>Learners will use the language and structure appropriate to the subject matter to investigate, represent, make decisions, and draw conclusions.</w:t>
      </w:r>
      <w:r>
        <w:rPr>
          <w:rStyle w:val="eop"/>
          <w:sz w:val="22"/>
          <w:szCs w:val="22"/>
        </w:rPr>
        <w:t> </w:t>
      </w:r>
    </w:p>
    <w:p w14:paraId="009E8AB3" w14:textId="77777777" w:rsidR="001D2059" w:rsidRDefault="001D2059" w:rsidP="001D2059">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48C54BA" w14:textId="523CFCE1" w:rsidR="004E4EAD" w:rsidRDefault="004E4EAD" w:rsidP="004E4EAD">
      <w:pPr>
        <w:pStyle w:val="paragraph"/>
        <w:spacing w:before="0" w:beforeAutospacing="0" w:after="0" w:afterAutospacing="0"/>
        <w:jc w:val="both"/>
        <w:textAlignment w:val="baseline"/>
        <w:rPr>
          <w:rStyle w:val="eop"/>
          <w:rFonts w:ascii="Calibri" w:hAnsi="Calibri" w:cs="Calibri"/>
          <w:color w:val="006848"/>
          <w:sz w:val="22"/>
          <w:szCs w:val="22"/>
        </w:rPr>
      </w:pPr>
      <w:r>
        <w:rPr>
          <w:rStyle w:val="normaltextrun"/>
          <w:rFonts w:ascii="Calibri" w:hAnsi="Calibri" w:cs="Calibri"/>
          <w:color w:val="006848"/>
          <w:sz w:val="22"/>
          <w:szCs w:val="22"/>
        </w:rPr>
        <w:t>Learning Outcomes</w:t>
      </w:r>
    </w:p>
    <w:p w14:paraId="6B4E208B" w14:textId="77777777" w:rsidR="004E4EAD" w:rsidRDefault="004E4EAD" w:rsidP="001D2059">
      <w:pPr>
        <w:pStyle w:val="paragraph"/>
        <w:spacing w:before="0" w:beforeAutospacing="0" w:after="0" w:afterAutospacing="0"/>
        <w:jc w:val="both"/>
        <w:textAlignment w:val="baseline"/>
        <w:rPr>
          <w:rFonts w:ascii="Segoe UI" w:hAnsi="Segoe UI" w:cs="Segoe UI"/>
          <w:sz w:val="18"/>
          <w:szCs w:val="18"/>
        </w:rPr>
      </w:pPr>
    </w:p>
    <w:p w14:paraId="56517C4D" w14:textId="77777777" w:rsidR="001D2059" w:rsidRDefault="001D2059" w:rsidP="001D2059">
      <w:pPr>
        <w:pStyle w:val="paragraph"/>
        <w:spacing w:before="0" w:beforeAutospacing="0" w:after="0" w:afterAutospacing="0"/>
        <w:jc w:val="both"/>
        <w:textAlignment w:val="baseline"/>
        <w:rPr>
          <w:rStyle w:val="eop"/>
          <w:sz w:val="22"/>
          <w:szCs w:val="22"/>
        </w:rPr>
      </w:pPr>
      <w:r>
        <w:rPr>
          <w:rStyle w:val="normaltextrun"/>
          <w:sz w:val="22"/>
          <w:szCs w:val="22"/>
        </w:rPr>
        <w:t>Courses, programs, or learning experiences designated as teaching quantitative reasoning will provide opportunities for learners to achieve the following six learning outcomes.</w:t>
      </w:r>
      <w:r>
        <w:rPr>
          <w:rStyle w:val="eop"/>
          <w:sz w:val="22"/>
          <w:szCs w:val="22"/>
        </w:rPr>
        <w:t> </w:t>
      </w:r>
    </w:p>
    <w:p w14:paraId="1EBD9F25" w14:textId="77777777" w:rsidR="00A44523" w:rsidRDefault="00A44523" w:rsidP="001D2059">
      <w:pPr>
        <w:pStyle w:val="paragraph"/>
        <w:spacing w:before="0" w:beforeAutospacing="0" w:after="0" w:afterAutospacing="0"/>
        <w:jc w:val="both"/>
        <w:textAlignment w:val="baseline"/>
        <w:rPr>
          <w:rFonts w:ascii="Segoe UI" w:hAnsi="Segoe UI" w:cs="Segoe UI"/>
          <w:sz w:val="18"/>
          <w:szCs w:val="18"/>
        </w:rPr>
      </w:pPr>
    </w:p>
    <w:p w14:paraId="0F1A7536" w14:textId="2198FE7F" w:rsidR="001D2059" w:rsidRDefault="001D2059" w:rsidP="004E4EAD">
      <w:pPr>
        <w:pStyle w:val="paragraph"/>
        <w:numPr>
          <w:ilvl w:val="0"/>
          <w:numId w:val="28"/>
        </w:numPr>
        <w:tabs>
          <w:tab w:val="clear" w:pos="720"/>
        </w:tabs>
        <w:spacing w:before="0" w:beforeAutospacing="0" w:after="0" w:afterAutospacing="0"/>
        <w:jc w:val="both"/>
        <w:textAlignment w:val="baseline"/>
        <w:rPr>
          <w:rStyle w:val="eop"/>
          <w:sz w:val="22"/>
          <w:szCs w:val="22"/>
        </w:rPr>
      </w:pPr>
      <w:r>
        <w:rPr>
          <w:rStyle w:val="normaltextrun"/>
          <w:i/>
          <w:iCs/>
          <w:sz w:val="22"/>
          <w:szCs w:val="22"/>
        </w:rPr>
        <w:t>Interpretation</w:t>
      </w:r>
      <w:r>
        <w:rPr>
          <w:rStyle w:val="normaltextrun"/>
          <w:sz w:val="22"/>
          <w:szCs w:val="22"/>
        </w:rPr>
        <w:t>. Students will be able to explain information presented in mathematical forms (e.g., equations, graphs, diagrams, tables, words).</w:t>
      </w:r>
      <w:r>
        <w:rPr>
          <w:rStyle w:val="eop"/>
          <w:sz w:val="22"/>
          <w:szCs w:val="22"/>
        </w:rPr>
        <w:t> </w:t>
      </w:r>
    </w:p>
    <w:p w14:paraId="7F12C32A" w14:textId="77777777" w:rsidR="00A44523" w:rsidRDefault="00A44523" w:rsidP="004E4EAD">
      <w:pPr>
        <w:pStyle w:val="paragraph"/>
        <w:spacing w:before="0" w:beforeAutospacing="0" w:after="0" w:afterAutospacing="0"/>
        <w:jc w:val="both"/>
        <w:textAlignment w:val="baseline"/>
        <w:rPr>
          <w:sz w:val="22"/>
          <w:szCs w:val="22"/>
        </w:rPr>
      </w:pPr>
    </w:p>
    <w:p w14:paraId="050F46ED" w14:textId="3B37585F" w:rsidR="001D2059" w:rsidRDefault="001D2059" w:rsidP="004E4EAD">
      <w:pPr>
        <w:pStyle w:val="paragraph"/>
        <w:numPr>
          <w:ilvl w:val="0"/>
          <w:numId w:val="29"/>
        </w:numPr>
        <w:tabs>
          <w:tab w:val="clear" w:pos="720"/>
        </w:tabs>
        <w:spacing w:before="0" w:beforeAutospacing="0" w:after="0" w:afterAutospacing="0"/>
        <w:jc w:val="both"/>
        <w:textAlignment w:val="baseline"/>
        <w:rPr>
          <w:rStyle w:val="eop"/>
          <w:sz w:val="22"/>
          <w:szCs w:val="22"/>
        </w:rPr>
      </w:pPr>
      <w:r>
        <w:rPr>
          <w:rStyle w:val="normaltextrun"/>
          <w:i/>
          <w:iCs/>
          <w:sz w:val="22"/>
          <w:szCs w:val="22"/>
        </w:rPr>
        <w:t>Representation</w:t>
      </w:r>
      <w:r>
        <w:rPr>
          <w:rStyle w:val="normaltextrun"/>
          <w:sz w:val="22"/>
          <w:szCs w:val="22"/>
        </w:rPr>
        <w:t>. Students will be able to convert relevant information into various mathematical forms (e.g., equations, graphs, diagrams, tables, words).</w:t>
      </w:r>
      <w:r>
        <w:rPr>
          <w:rStyle w:val="eop"/>
          <w:sz w:val="22"/>
          <w:szCs w:val="22"/>
        </w:rPr>
        <w:t> </w:t>
      </w:r>
    </w:p>
    <w:p w14:paraId="6C92C7FD" w14:textId="77777777" w:rsidR="00A44523" w:rsidRDefault="00A44523" w:rsidP="004E4EAD">
      <w:pPr>
        <w:pStyle w:val="paragraph"/>
        <w:spacing w:before="0" w:beforeAutospacing="0" w:after="0" w:afterAutospacing="0"/>
        <w:jc w:val="both"/>
        <w:textAlignment w:val="baseline"/>
        <w:rPr>
          <w:sz w:val="22"/>
          <w:szCs w:val="22"/>
        </w:rPr>
      </w:pPr>
    </w:p>
    <w:p w14:paraId="3620AF51" w14:textId="22DFA069" w:rsidR="001D2059" w:rsidRDefault="001D2059" w:rsidP="004E4EAD">
      <w:pPr>
        <w:pStyle w:val="paragraph"/>
        <w:numPr>
          <w:ilvl w:val="0"/>
          <w:numId w:val="30"/>
        </w:numPr>
        <w:tabs>
          <w:tab w:val="clear" w:pos="720"/>
        </w:tabs>
        <w:spacing w:before="0" w:beforeAutospacing="0" w:after="0" w:afterAutospacing="0"/>
        <w:jc w:val="both"/>
        <w:textAlignment w:val="baseline"/>
        <w:rPr>
          <w:rStyle w:val="eop"/>
          <w:sz w:val="22"/>
          <w:szCs w:val="22"/>
        </w:rPr>
      </w:pPr>
      <w:r>
        <w:rPr>
          <w:rStyle w:val="normaltextrun"/>
          <w:i/>
          <w:iCs/>
          <w:sz w:val="22"/>
          <w:szCs w:val="22"/>
        </w:rPr>
        <w:t>Calculation</w:t>
      </w:r>
      <w:r>
        <w:rPr>
          <w:rStyle w:val="normaltextrun"/>
          <w:sz w:val="22"/>
          <w:szCs w:val="22"/>
        </w:rPr>
        <w:t>. Students will be able to calculate relevant information using various mathematical formulas.</w:t>
      </w:r>
      <w:r>
        <w:rPr>
          <w:rStyle w:val="eop"/>
          <w:sz w:val="22"/>
          <w:szCs w:val="22"/>
        </w:rPr>
        <w:t> </w:t>
      </w:r>
    </w:p>
    <w:p w14:paraId="6CCFD1EC" w14:textId="77777777" w:rsidR="00A44523" w:rsidRDefault="00A44523" w:rsidP="004E4EAD">
      <w:pPr>
        <w:pStyle w:val="paragraph"/>
        <w:spacing w:before="0" w:beforeAutospacing="0" w:after="0" w:afterAutospacing="0"/>
        <w:jc w:val="both"/>
        <w:textAlignment w:val="baseline"/>
        <w:rPr>
          <w:sz w:val="22"/>
          <w:szCs w:val="22"/>
        </w:rPr>
      </w:pPr>
    </w:p>
    <w:p w14:paraId="1EF27944" w14:textId="1FD5E7D7" w:rsidR="001D2059" w:rsidRDefault="001D2059" w:rsidP="004E4EAD">
      <w:pPr>
        <w:pStyle w:val="paragraph"/>
        <w:numPr>
          <w:ilvl w:val="0"/>
          <w:numId w:val="31"/>
        </w:numPr>
        <w:tabs>
          <w:tab w:val="clear" w:pos="720"/>
        </w:tabs>
        <w:spacing w:before="0" w:beforeAutospacing="0" w:after="0" w:afterAutospacing="0"/>
        <w:jc w:val="both"/>
        <w:textAlignment w:val="baseline"/>
        <w:rPr>
          <w:rStyle w:val="eop"/>
          <w:sz w:val="22"/>
          <w:szCs w:val="22"/>
        </w:rPr>
      </w:pPr>
      <w:r>
        <w:rPr>
          <w:rStyle w:val="normaltextrun"/>
          <w:i/>
          <w:iCs/>
          <w:sz w:val="22"/>
          <w:szCs w:val="22"/>
        </w:rPr>
        <w:t>Application / Analysis</w:t>
      </w:r>
      <w:r>
        <w:rPr>
          <w:rStyle w:val="normaltextrun"/>
          <w:sz w:val="22"/>
          <w:szCs w:val="22"/>
        </w:rPr>
        <w:t>. Students will be able to make judgments and draw appropriate conclusions based on the quantitative analysis of data while recognizing the limits of this analysis.</w:t>
      </w:r>
      <w:r>
        <w:rPr>
          <w:rStyle w:val="eop"/>
          <w:sz w:val="22"/>
          <w:szCs w:val="22"/>
        </w:rPr>
        <w:t> </w:t>
      </w:r>
    </w:p>
    <w:p w14:paraId="734DFED9" w14:textId="77777777" w:rsidR="00A44523" w:rsidRDefault="00A44523" w:rsidP="004E4EAD">
      <w:pPr>
        <w:pStyle w:val="paragraph"/>
        <w:spacing w:before="0" w:beforeAutospacing="0" w:after="0" w:afterAutospacing="0"/>
        <w:jc w:val="both"/>
        <w:textAlignment w:val="baseline"/>
        <w:rPr>
          <w:sz w:val="22"/>
          <w:szCs w:val="22"/>
        </w:rPr>
      </w:pPr>
    </w:p>
    <w:p w14:paraId="5722DA14" w14:textId="6FBD95E6" w:rsidR="001D2059" w:rsidRDefault="001D2059" w:rsidP="004E4EAD">
      <w:pPr>
        <w:pStyle w:val="paragraph"/>
        <w:numPr>
          <w:ilvl w:val="0"/>
          <w:numId w:val="32"/>
        </w:numPr>
        <w:tabs>
          <w:tab w:val="clear" w:pos="720"/>
        </w:tabs>
        <w:spacing w:before="0" w:beforeAutospacing="0" w:after="0" w:afterAutospacing="0"/>
        <w:jc w:val="both"/>
        <w:textAlignment w:val="baseline"/>
        <w:rPr>
          <w:rStyle w:val="eop"/>
          <w:sz w:val="22"/>
          <w:szCs w:val="22"/>
        </w:rPr>
      </w:pPr>
      <w:r>
        <w:rPr>
          <w:rStyle w:val="normaltextrun"/>
          <w:i/>
          <w:iCs/>
          <w:sz w:val="22"/>
          <w:szCs w:val="22"/>
        </w:rPr>
        <w:t>Assumptions</w:t>
      </w:r>
      <w:r>
        <w:rPr>
          <w:rStyle w:val="normaltextrun"/>
          <w:sz w:val="22"/>
          <w:szCs w:val="22"/>
        </w:rPr>
        <w:t>. Students will be able to make and evaluate important assumptions in estimation, modeling, and data analysis.</w:t>
      </w:r>
      <w:r>
        <w:rPr>
          <w:rStyle w:val="eop"/>
          <w:sz w:val="22"/>
          <w:szCs w:val="22"/>
        </w:rPr>
        <w:t> </w:t>
      </w:r>
    </w:p>
    <w:p w14:paraId="59743CE6" w14:textId="77777777" w:rsidR="00A44523" w:rsidRDefault="00A44523" w:rsidP="004E4EAD">
      <w:pPr>
        <w:pStyle w:val="paragraph"/>
        <w:spacing w:before="0" w:beforeAutospacing="0" w:after="0" w:afterAutospacing="0"/>
        <w:jc w:val="both"/>
        <w:textAlignment w:val="baseline"/>
        <w:rPr>
          <w:sz w:val="22"/>
          <w:szCs w:val="22"/>
        </w:rPr>
      </w:pPr>
    </w:p>
    <w:p w14:paraId="1C5E57C8" w14:textId="4B1B583D" w:rsidR="00092628" w:rsidRPr="004E4EAD" w:rsidRDefault="001D2059" w:rsidP="18F77FEA">
      <w:pPr>
        <w:pStyle w:val="paragraph"/>
        <w:numPr>
          <w:ilvl w:val="0"/>
          <w:numId w:val="32"/>
        </w:numPr>
        <w:tabs>
          <w:tab w:val="clear" w:pos="720"/>
        </w:tabs>
        <w:spacing w:before="0" w:beforeAutospacing="0" w:after="0" w:afterAutospacing="0"/>
        <w:jc w:val="both"/>
        <w:textAlignment w:val="baseline"/>
        <w:rPr>
          <w:sz w:val="22"/>
          <w:szCs w:val="22"/>
        </w:rPr>
      </w:pPr>
      <w:r>
        <w:rPr>
          <w:rStyle w:val="normaltextrun"/>
          <w:i/>
          <w:iCs/>
          <w:sz w:val="22"/>
          <w:szCs w:val="22"/>
        </w:rPr>
        <w:t>Communications</w:t>
      </w:r>
      <w:r>
        <w:rPr>
          <w:rStyle w:val="normaltextrun"/>
          <w:sz w:val="22"/>
          <w:szCs w:val="22"/>
        </w:rPr>
        <w:t>. Students will be able to express quantitative evidence in support of the argument or purpose of the work (in terms of what evidence is used and how it is formatted, presented, and contextualized).</w:t>
      </w:r>
      <w:r>
        <w:rPr>
          <w:rStyle w:val="eop"/>
          <w:sz w:val="22"/>
          <w:szCs w:val="22"/>
        </w:rPr>
        <w:t> </w:t>
      </w:r>
    </w:p>
    <w:sectPr w:rsidR="00092628" w:rsidRPr="004E4E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8E2C" w14:textId="77777777" w:rsidR="00996D97" w:rsidRDefault="00996D97">
      <w:pPr>
        <w:spacing w:after="0" w:line="240" w:lineRule="auto"/>
      </w:pPr>
      <w:r>
        <w:separator/>
      </w:r>
    </w:p>
  </w:endnote>
  <w:endnote w:type="continuationSeparator" w:id="0">
    <w:p w14:paraId="7786C081" w14:textId="77777777" w:rsidR="00996D97" w:rsidRDefault="00996D97">
      <w:pPr>
        <w:spacing w:after="0" w:line="240" w:lineRule="auto"/>
      </w:pPr>
      <w:r>
        <w:continuationSeparator/>
      </w:r>
    </w:p>
  </w:endnote>
  <w:endnote w:type="continuationNotice" w:id="1">
    <w:p w14:paraId="551054E8" w14:textId="77777777" w:rsidR="00996D97" w:rsidRDefault="00996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EC26" w14:textId="77777777" w:rsidR="00CF1A7A" w:rsidRDefault="00CF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22991"/>
      <w:docPartObj>
        <w:docPartGallery w:val="Page Numbers (Bottom of Page)"/>
        <w:docPartUnique/>
      </w:docPartObj>
    </w:sdtPr>
    <w:sdtEndPr>
      <w:rPr>
        <w:noProof/>
      </w:rPr>
    </w:sdtEndPr>
    <w:sdtContent>
      <w:p w14:paraId="240700C3" w14:textId="1820424F" w:rsidR="00092628" w:rsidRDefault="00092628">
        <w:pPr>
          <w:pStyle w:val="Footer"/>
          <w:jc w:val="right"/>
        </w:pPr>
        <w:r>
          <w:fldChar w:fldCharType="begin"/>
        </w:r>
        <w:r>
          <w:instrText xml:space="preserve"> PAGE   \* MERGEFORMAT </w:instrText>
        </w:r>
        <w:r>
          <w:fldChar w:fldCharType="separate"/>
        </w:r>
        <w:r w:rsidR="00582F6D">
          <w:rPr>
            <w:noProof/>
          </w:rPr>
          <w:t>2</w:t>
        </w:r>
        <w:r>
          <w:rPr>
            <w:noProof/>
          </w:rPr>
          <w:fldChar w:fldCharType="end"/>
        </w:r>
      </w:p>
    </w:sdtContent>
  </w:sdt>
  <w:p w14:paraId="3BB50724" w14:textId="77777777" w:rsidR="00092628" w:rsidRDefault="00092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69F0" w14:textId="77777777" w:rsidR="00CF1A7A" w:rsidRDefault="00CF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FD7F" w14:textId="77777777" w:rsidR="00996D97" w:rsidRDefault="00996D97">
      <w:pPr>
        <w:spacing w:after="0" w:line="240" w:lineRule="auto"/>
      </w:pPr>
      <w:r>
        <w:separator/>
      </w:r>
    </w:p>
  </w:footnote>
  <w:footnote w:type="continuationSeparator" w:id="0">
    <w:p w14:paraId="135EC039" w14:textId="77777777" w:rsidR="00996D97" w:rsidRDefault="00996D97">
      <w:pPr>
        <w:spacing w:after="0" w:line="240" w:lineRule="auto"/>
      </w:pPr>
      <w:r>
        <w:continuationSeparator/>
      </w:r>
    </w:p>
  </w:footnote>
  <w:footnote w:type="continuationNotice" w:id="1">
    <w:p w14:paraId="0257E06C" w14:textId="77777777" w:rsidR="00996D97" w:rsidRDefault="00996D97">
      <w:pPr>
        <w:spacing w:after="0" w:line="240" w:lineRule="auto"/>
      </w:pPr>
    </w:p>
  </w:footnote>
  <w:footnote w:id="2">
    <w:p w14:paraId="707B2DCE" w14:textId="7D6247C1" w:rsidR="00A033AF" w:rsidRPr="00A033AF" w:rsidRDefault="00A033AF" w:rsidP="00A033AF">
      <w:pPr>
        <w:spacing w:before="60" w:after="60"/>
        <w:jc w:val="both"/>
        <w:rPr>
          <w:rFonts w:ascii="Times New Roman" w:eastAsia="Times New Roman" w:hAnsi="Times New Roman" w:cs="Times New Roman"/>
          <w:sz w:val="20"/>
          <w:szCs w:val="20"/>
        </w:rPr>
      </w:pPr>
      <w:r>
        <w:rPr>
          <w:rStyle w:val="FootnoteReference"/>
        </w:rPr>
        <w:footnoteRef/>
      </w:r>
      <w:r>
        <w:t xml:space="preserve"> </w:t>
      </w:r>
      <w:r w:rsidRPr="00A033AF">
        <w:rPr>
          <w:rFonts w:ascii="Times New Roman" w:eastAsia="Times New Roman" w:hAnsi="Times New Roman" w:cs="Times New Roman"/>
          <w:sz w:val="20"/>
          <w:szCs w:val="20"/>
        </w:rPr>
        <w:t xml:space="preserve">Restricting </w:t>
      </w:r>
      <w:r w:rsidR="005B0D9E">
        <w:rPr>
          <w:rFonts w:ascii="Times New Roman" w:eastAsia="Times New Roman" w:hAnsi="Times New Roman" w:cs="Times New Roman"/>
          <w:sz w:val="20"/>
          <w:szCs w:val="20"/>
        </w:rPr>
        <w:t xml:space="preserve">the PL1 prerequisite to </w:t>
      </w:r>
      <w:r w:rsidRPr="00A033AF">
        <w:rPr>
          <w:rFonts w:ascii="Times New Roman" w:eastAsia="Times New Roman" w:hAnsi="Times New Roman" w:cs="Times New Roman"/>
          <w:sz w:val="20"/>
          <w:szCs w:val="20"/>
        </w:rPr>
        <w:t>OT-36 approved courses in FQR ensures that the students of greatest concern</w:t>
      </w:r>
      <w:r w:rsidR="005B0D9E">
        <w:rPr>
          <w:rFonts w:ascii="Times New Roman" w:eastAsia="Times New Roman" w:hAnsi="Times New Roman" w:cs="Times New Roman"/>
          <w:sz w:val="20"/>
          <w:szCs w:val="20"/>
        </w:rPr>
        <w:t xml:space="preserve"> to ODHE</w:t>
      </w:r>
      <w:r w:rsidRPr="00A033AF">
        <w:rPr>
          <w:rFonts w:ascii="Times New Roman" w:eastAsia="Times New Roman" w:hAnsi="Times New Roman" w:cs="Times New Roman"/>
          <w:sz w:val="20"/>
          <w:szCs w:val="20"/>
        </w:rPr>
        <w:t xml:space="preserve"> are funneled into quantitative courses that are tied</w:t>
      </w:r>
      <w:r w:rsidR="005B0D9E">
        <w:rPr>
          <w:rFonts w:ascii="Times New Roman" w:eastAsia="Times New Roman" w:hAnsi="Times New Roman" w:cs="Times New Roman"/>
          <w:sz w:val="20"/>
          <w:szCs w:val="20"/>
        </w:rPr>
        <w:t xml:space="preserve"> to specific transfer pathways </w:t>
      </w:r>
      <w:r w:rsidRPr="00A033AF">
        <w:rPr>
          <w:rFonts w:ascii="Times New Roman" w:eastAsia="Times New Roman" w:hAnsi="Times New Roman" w:cs="Times New Roman"/>
          <w:sz w:val="20"/>
          <w:szCs w:val="20"/>
        </w:rPr>
        <w:t xml:space="preserve">and </w:t>
      </w:r>
      <w:r w:rsidR="00582F6D">
        <w:rPr>
          <w:rFonts w:ascii="Times New Roman" w:eastAsia="Times New Roman" w:hAnsi="Times New Roman" w:cs="Times New Roman"/>
          <w:sz w:val="20"/>
          <w:szCs w:val="20"/>
        </w:rPr>
        <w:t xml:space="preserve">which can potentially be supported by </w:t>
      </w:r>
      <w:r w:rsidRPr="00A033AF">
        <w:rPr>
          <w:rFonts w:ascii="Times New Roman" w:eastAsia="Times New Roman" w:hAnsi="Times New Roman" w:cs="Times New Roman"/>
          <w:sz w:val="20"/>
          <w:szCs w:val="20"/>
        </w:rPr>
        <w:t>co-requisite courses. This honors the reasoning behind the restriction of OT-36 MSL courses to a few standard categories.</w:t>
      </w:r>
    </w:p>
  </w:footnote>
  <w:footnote w:id="3">
    <w:p w14:paraId="0D608CED" w14:textId="434BF6B6" w:rsidR="00A033AF" w:rsidRDefault="00A033AF">
      <w:pPr>
        <w:pStyle w:val="FootnoteText"/>
      </w:pPr>
      <w:r>
        <w:rPr>
          <w:rStyle w:val="FootnoteReference"/>
        </w:rPr>
        <w:footnoteRef/>
      </w:r>
      <w:r>
        <w:t xml:space="preserve"> </w:t>
      </w:r>
      <w:r w:rsidRPr="2413CDB7">
        <w:rPr>
          <w:rFonts w:ascii="Times New Roman" w:eastAsia="Times New Roman" w:hAnsi="Times New Roman" w:cs="Times New Roman"/>
        </w:rPr>
        <w:t>Quantitative courses in the Arches can still satisfy FQR requirements if that is what the student needs.  Thus, a PL2 student with no mathematics transfer credit can enroll in PSY 2110 and satisfy FQR, just as now.  The student would need to satisfy the ACSW requirement through a humanities or arts class instead.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7529" w14:textId="77777777" w:rsidR="00CF1A7A" w:rsidRDefault="00CF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75D8BF" w14:paraId="62C7BBF2" w14:textId="77777777" w:rsidTr="2875D8BF">
      <w:tc>
        <w:tcPr>
          <w:tcW w:w="3120" w:type="dxa"/>
        </w:tcPr>
        <w:p w14:paraId="06D5F019" w14:textId="707D6428" w:rsidR="2875D8BF" w:rsidRDefault="2875D8BF" w:rsidP="2875D8BF">
          <w:pPr>
            <w:pStyle w:val="Header"/>
            <w:ind w:left="-115"/>
          </w:pPr>
        </w:p>
      </w:tc>
      <w:tc>
        <w:tcPr>
          <w:tcW w:w="3120" w:type="dxa"/>
        </w:tcPr>
        <w:p w14:paraId="78FC2345" w14:textId="3F708DDB" w:rsidR="2875D8BF" w:rsidRDefault="2875D8BF" w:rsidP="2875D8BF">
          <w:pPr>
            <w:pStyle w:val="Header"/>
            <w:jc w:val="center"/>
          </w:pPr>
        </w:p>
      </w:tc>
      <w:tc>
        <w:tcPr>
          <w:tcW w:w="3120" w:type="dxa"/>
        </w:tcPr>
        <w:p w14:paraId="7F23D0A4" w14:textId="673D1C14" w:rsidR="2875D8BF" w:rsidRDefault="2875D8BF" w:rsidP="2875D8BF">
          <w:pPr>
            <w:pStyle w:val="Header"/>
            <w:ind w:right="-115"/>
            <w:jc w:val="right"/>
          </w:pPr>
        </w:p>
      </w:tc>
    </w:tr>
  </w:tbl>
  <w:p w14:paraId="40BF4C2B" w14:textId="60577DBB" w:rsidR="2875D8BF" w:rsidRDefault="2875D8BF" w:rsidP="2875D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EACB" w14:textId="77777777" w:rsidR="00CF1A7A" w:rsidRDefault="00CF1A7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LFtvfxi" int2:invalidationBookmarkName="" int2:hashCode="RoHRJMxsS3O6q/" int2:id="1aB6G0wx"/>
    <int2:bookmark int2:bookmarkName="_Int_EGowbkdT" int2:invalidationBookmarkName="" int2:hashCode="RoHRJMxsS3O6q/" int2:id="2ENgsNfj">
      <int2:state int2:value="Rejected" int2:type="AugLoop_Text_Critique"/>
    </int2:bookmark>
    <int2:bookmark int2:bookmarkName="_Int_xNeKr5vu" int2:invalidationBookmarkName="" int2:hashCode="RoHRJMxsS3O6q/" int2:id="2HLqdFIi">
      <int2:state int2:value="Rejected" int2:type="AugLoop_Text_Critique"/>
    </int2:bookmark>
    <int2:bookmark int2:bookmarkName="_Int_AkorUwJL" int2:invalidationBookmarkName="" int2:hashCode="RoHRJMxsS3O6q/" int2:id="BxuEJ1LF"/>
    <int2:bookmark int2:bookmarkName="_Int_MJZYKDI4" int2:invalidationBookmarkName="" int2:hashCode="RoHRJMxsS3O6q/" int2:id="Ds0OioCt">
      <int2:state int2:value="Rejected" int2:type="AugLoop_Text_Critique"/>
    </int2:bookmark>
    <int2:bookmark int2:bookmarkName="_Int_Pxl5CASV" int2:invalidationBookmarkName="" int2:hashCode="RoHRJMxsS3O6q/" int2:id="Ht32B36q">
      <int2:state int2:value="Rejected" int2:type="AugLoop_Text_Critique"/>
    </int2:bookmark>
    <int2:bookmark int2:bookmarkName="_Int_WHHSG6c4" int2:invalidationBookmarkName="" int2:hashCode="/K4UzxR0uHD5CB" int2:id="K2cEmHDn"/>
    <int2:bookmark int2:bookmarkName="_Int_xEQFPTsi" int2:invalidationBookmarkName="" int2:hashCode="RoHRJMxsS3O6q/" int2:id="KFULOzau"/>
    <int2:bookmark int2:bookmarkName="_Int_BBTPxcDi" int2:invalidationBookmarkName="" int2:hashCode="RoHRJMxsS3O6q/" int2:id="M7d0Qz1q">
      <int2:state int2:value="Rejected" int2:type="AugLoop_Text_Critique"/>
    </int2:bookmark>
    <int2:bookmark int2:bookmarkName="_Int_UC7gIK5G" int2:invalidationBookmarkName="" int2:hashCode="RoHRJMxsS3O6q/" int2:id="P0vLYChS">
      <int2:state int2:value="Rejected" int2:type="AugLoop_Text_Critique"/>
    </int2:bookmark>
    <int2:bookmark int2:bookmarkName="_Int_gQIJIQ1F" int2:invalidationBookmarkName="" int2:hashCode="NWdK0K2HUMi8rB" int2:id="QCmy05LS">
      <int2:state int2:value="Rejected" int2:type="AugLoop_Acronyms_AcronymsCritique"/>
    </int2:bookmark>
    <int2:bookmark int2:bookmarkName="_Int_ORaU59zv" int2:invalidationBookmarkName="" int2:hashCode="RoHRJMxsS3O6q/" int2:id="R1xKU3k5"/>
    <int2:bookmark int2:bookmarkName="_Int_4XoZF63D" int2:invalidationBookmarkName="" int2:hashCode="RoHRJMxsS3O6q/" int2:id="RCHxYy9t"/>
    <int2:bookmark int2:bookmarkName="_Int_cgAI4sdB" int2:invalidationBookmarkName="" int2:hashCode="RoHRJMxsS3O6q/" int2:id="RSQ9k7cT"/>
    <int2:bookmark int2:bookmarkName="_Int_lP3a6YM8" int2:invalidationBookmarkName="" int2:hashCode="RoHRJMxsS3O6q/" int2:id="UDInBEy3">
      <int2:state int2:value="Rejected" int2:type="AugLoop_Text_Critique"/>
    </int2:bookmark>
    <int2:bookmark int2:bookmarkName="_Int_T3BeH1cF" int2:invalidationBookmarkName="" int2:hashCode="RoHRJMxsS3O6q/" int2:id="VLCIS9Uv">
      <int2:state int2:value="Rejected" int2:type="AugLoop_Text_Critique"/>
    </int2:bookmark>
    <int2:bookmark int2:bookmarkName="_Int_EMU1odAr" int2:invalidationBookmarkName="" int2:hashCode="RoHRJMxsS3O6q/" int2:id="ZkWtujND">
      <int2:state int2:value="Rejected" int2:type="AugLoop_Text_Critique"/>
    </int2:bookmark>
    <int2:bookmark int2:bookmarkName="_Int_DQoyymTX" int2:invalidationBookmarkName="" int2:hashCode="RoHRJMxsS3O6q/" int2:id="dYxm92bN">
      <int2:state int2:value="Rejected" int2:type="AugLoop_Text_Critique"/>
    </int2:bookmark>
    <int2:bookmark int2:bookmarkName="_Int_E1Esmaoo" int2:invalidationBookmarkName="" int2:hashCode="RoHRJMxsS3O6q/" int2:id="hXTZp0HE">
      <int2:state int2:value="Rejected" int2:type="AugLoop_Text_Critique"/>
    </int2:bookmark>
    <int2:bookmark int2:bookmarkName="_Int_ADxSb6F0" int2:invalidationBookmarkName="" int2:hashCode="RgtdeG1E3vh35e" int2:id="mF1NItQb"/>
    <int2:bookmark int2:bookmarkName="_Int_6TyVgCBd" int2:invalidationBookmarkName="" int2:hashCode="TpKAtR+nBQsZhX" int2:id="nqh4eXyY"/>
    <int2:bookmark int2:bookmarkName="_Int_XaecEFA3" int2:invalidationBookmarkName="" int2:hashCode="u8zfLvsztS5snQ" int2:id="p9sZijaV">
      <int2:state int2:value="Rejected" int2:type="LegacyProofing"/>
    </int2:bookmark>
    <int2:bookmark int2:bookmarkName="_Int_Kj5pDxFN" int2:invalidationBookmarkName="" int2:hashCode="v/BHRMdbGqeti9" int2:id="psyBZVHO"/>
    <int2:bookmark int2:bookmarkName="_Int_S1n5jmkG" int2:invalidationBookmarkName="" int2:hashCode="UAvs7G7gF3Urx5" int2:id="ulLE68O7">
      <int2:state int2:value="Reviewed" int2:type="WordDesignerPullQuotesAnnotation"/>
    </int2:bookmark>
    <int2:bookmark int2:bookmarkName="_Int_PZWz8eqG" int2:invalidationBookmarkName="" int2:hashCode="TOWIFRdcuapX/J" int2:id="xj2SmG9v"/>
    <int2:bookmark int2:bookmarkName="_Int_HH87OnvV" int2:invalidationBookmarkName="" int2:hashCode="RoHRJMxsS3O6q/" int2:id="zsblk2ET">
      <int2:state int2:value="Rejected" int2:type="AugLoop_Text_Critique"/>
    </int2:bookmark>
    <int2:entireDocument int2:id="YV9lYuZA">
      <int2:extLst>
        <oel:ext uri="E302BA01-7950-474C-9AD3-286E660C40A8">
          <int2:similaritySummary int2:version="1" int2:runId="1663257192214" int2:tilesCheckedInThisRun="27" int2:totalNumOfTiles="27" int2:similarityAnnotationCount="0" int2:numWords="727" int2:numFlaggedWords="0"/>
        </oel:ext>
      </int2:extLst>
    </int2:entireDocument>
  </int2:observations>
  <int2:intelligenceSettings/>
  <int2:onDemandWorkflows>
    <int2:onDemandWorkflow int2:type="SimilarityCheck" int2:paragraphVersions="62BEB8FB-2697838B 49CB55FE-59FCD0BD 18AEBED4-63F94BAF 5DC3275E-0CBD73E0 22CA166B-63CE6BB8 398D9993-77777777 084979EB-429AE15B 20FCE67F-77777777 2123512F-3AF0BB12 66CD0919-7C58B698 38568B25-290D333F 31871357-35238188 1B77A90A-0BB8399D 10CE514F-56120662 655550E9-35139318 1056E181-7015C843 0EB09E3D-28FECA8D 6739306C-51AD43BC 7237BD3C-2665A9C0 58EBCF06-77777777 251458CE-21762C45 08A8FB4C-77777777 3025D242-0A3B1D28 0B16FAA9-697210FD 5802A4C2-38D75D88 4783DCC4-28B91A2E 602E1B6B-77777777 3D4172F3-4B88447B 7FDE723E-765690D7 1B44986C-2F973AC9 43C4B028-77777777 466562C9-136E3A0A 247FED5C-7432A867 1816B248-77777777 401A3C50-3B8B3933 33E9A889-77777777 30E3F2E2-7644EC3F 0784CC01-0C92F791 3723531F-6D443CA4 1E48D138-77777777 69EB9612-231BD859 11343E62-38319B73 2A01AADA-63905F02 3B7F7DD0-08A244E6 5587CB83-0F77FFF8 73A26A93-38DF90E0 73C5A46F-004225F9 04B76773-0B085DC8 5B026994-069934F7 1C5E57C8-6B733EBC 06D5F019-707D6428 78FC2345-3F708DDB 7F23D0A4-673D1C14 40BF4C2B-01F6B2E7 240700C3-77777777 3BB50724-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71B5"/>
    <w:multiLevelType w:val="hybridMultilevel"/>
    <w:tmpl w:val="433EF81A"/>
    <w:lvl w:ilvl="0" w:tplc="94F60444">
      <w:start w:val="1"/>
      <w:numFmt w:val="bullet"/>
      <w:lvlText w:val=""/>
      <w:lvlJc w:val="left"/>
      <w:pPr>
        <w:ind w:left="360" w:hanging="360"/>
      </w:pPr>
      <w:rPr>
        <w:rFonts w:ascii="Symbol" w:hAnsi="Symbol" w:hint="default"/>
      </w:rPr>
    </w:lvl>
    <w:lvl w:ilvl="1" w:tplc="FB00EDC2">
      <w:start w:val="1"/>
      <w:numFmt w:val="bullet"/>
      <w:lvlText w:val="o"/>
      <w:lvlJc w:val="left"/>
      <w:pPr>
        <w:ind w:left="1080" w:hanging="360"/>
      </w:pPr>
      <w:rPr>
        <w:rFonts w:ascii="Courier New" w:hAnsi="Courier New" w:hint="default"/>
      </w:rPr>
    </w:lvl>
    <w:lvl w:ilvl="2" w:tplc="B4F6D4D0">
      <w:start w:val="1"/>
      <w:numFmt w:val="bullet"/>
      <w:lvlText w:val=""/>
      <w:lvlJc w:val="left"/>
      <w:pPr>
        <w:ind w:left="1800" w:hanging="360"/>
      </w:pPr>
      <w:rPr>
        <w:rFonts w:ascii="Wingdings" w:hAnsi="Wingdings" w:hint="default"/>
      </w:rPr>
    </w:lvl>
    <w:lvl w:ilvl="3" w:tplc="E93EA8DE">
      <w:start w:val="1"/>
      <w:numFmt w:val="bullet"/>
      <w:lvlText w:val=""/>
      <w:lvlJc w:val="left"/>
      <w:pPr>
        <w:ind w:left="2520" w:hanging="360"/>
      </w:pPr>
      <w:rPr>
        <w:rFonts w:ascii="Symbol" w:hAnsi="Symbol" w:hint="default"/>
      </w:rPr>
    </w:lvl>
    <w:lvl w:ilvl="4" w:tplc="E8301606">
      <w:start w:val="1"/>
      <w:numFmt w:val="bullet"/>
      <w:lvlText w:val="o"/>
      <w:lvlJc w:val="left"/>
      <w:pPr>
        <w:ind w:left="3240" w:hanging="360"/>
      </w:pPr>
      <w:rPr>
        <w:rFonts w:ascii="Courier New" w:hAnsi="Courier New" w:hint="default"/>
      </w:rPr>
    </w:lvl>
    <w:lvl w:ilvl="5" w:tplc="3F6EABC8">
      <w:start w:val="1"/>
      <w:numFmt w:val="bullet"/>
      <w:lvlText w:val=""/>
      <w:lvlJc w:val="left"/>
      <w:pPr>
        <w:ind w:left="3960" w:hanging="360"/>
      </w:pPr>
      <w:rPr>
        <w:rFonts w:ascii="Wingdings" w:hAnsi="Wingdings" w:hint="default"/>
      </w:rPr>
    </w:lvl>
    <w:lvl w:ilvl="6" w:tplc="9A02DAB6">
      <w:start w:val="1"/>
      <w:numFmt w:val="bullet"/>
      <w:lvlText w:val=""/>
      <w:lvlJc w:val="left"/>
      <w:pPr>
        <w:ind w:left="4680" w:hanging="360"/>
      </w:pPr>
      <w:rPr>
        <w:rFonts w:ascii="Symbol" w:hAnsi="Symbol" w:hint="default"/>
      </w:rPr>
    </w:lvl>
    <w:lvl w:ilvl="7" w:tplc="164A933A">
      <w:start w:val="1"/>
      <w:numFmt w:val="bullet"/>
      <w:lvlText w:val="o"/>
      <w:lvlJc w:val="left"/>
      <w:pPr>
        <w:ind w:left="5400" w:hanging="360"/>
      </w:pPr>
      <w:rPr>
        <w:rFonts w:ascii="Courier New" w:hAnsi="Courier New" w:hint="default"/>
      </w:rPr>
    </w:lvl>
    <w:lvl w:ilvl="8" w:tplc="C192B97A">
      <w:start w:val="1"/>
      <w:numFmt w:val="bullet"/>
      <w:lvlText w:val=""/>
      <w:lvlJc w:val="left"/>
      <w:pPr>
        <w:ind w:left="6120" w:hanging="360"/>
      </w:pPr>
      <w:rPr>
        <w:rFonts w:ascii="Wingdings" w:hAnsi="Wingdings" w:hint="default"/>
      </w:rPr>
    </w:lvl>
  </w:abstractNum>
  <w:abstractNum w:abstractNumId="1" w15:restartNumberingAfterBreak="0">
    <w:nsid w:val="02A23809"/>
    <w:multiLevelType w:val="multilevel"/>
    <w:tmpl w:val="BF4E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72AA9"/>
    <w:multiLevelType w:val="hybridMultilevel"/>
    <w:tmpl w:val="A9CEB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6695D"/>
    <w:multiLevelType w:val="hybridMultilevel"/>
    <w:tmpl w:val="FFFFFFFF"/>
    <w:lvl w:ilvl="0" w:tplc="BC5002AC">
      <w:start w:val="1"/>
      <w:numFmt w:val="decimal"/>
      <w:lvlText w:val="%1."/>
      <w:lvlJc w:val="left"/>
      <w:pPr>
        <w:ind w:left="720" w:hanging="360"/>
      </w:pPr>
    </w:lvl>
    <w:lvl w:ilvl="1" w:tplc="EC9CA6A6">
      <w:start w:val="1"/>
      <w:numFmt w:val="lowerLetter"/>
      <w:lvlText w:val="%2."/>
      <w:lvlJc w:val="left"/>
      <w:pPr>
        <w:ind w:left="1440" w:hanging="360"/>
      </w:pPr>
    </w:lvl>
    <w:lvl w:ilvl="2" w:tplc="AEB25822">
      <w:start w:val="1"/>
      <w:numFmt w:val="lowerRoman"/>
      <w:lvlText w:val="%3."/>
      <w:lvlJc w:val="right"/>
      <w:pPr>
        <w:ind w:left="2160" w:hanging="180"/>
      </w:pPr>
    </w:lvl>
    <w:lvl w:ilvl="3" w:tplc="7BFE1A9E">
      <w:start w:val="1"/>
      <w:numFmt w:val="decimal"/>
      <w:lvlText w:val="%4."/>
      <w:lvlJc w:val="left"/>
      <w:pPr>
        <w:ind w:left="2880" w:hanging="360"/>
      </w:pPr>
    </w:lvl>
    <w:lvl w:ilvl="4" w:tplc="6AEAFDC2">
      <w:start w:val="1"/>
      <w:numFmt w:val="lowerLetter"/>
      <w:lvlText w:val="%5."/>
      <w:lvlJc w:val="left"/>
      <w:pPr>
        <w:ind w:left="3600" w:hanging="360"/>
      </w:pPr>
    </w:lvl>
    <w:lvl w:ilvl="5" w:tplc="C91CAE38">
      <w:start w:val="1"/>
      <w:numFmt w:val="lowerRoman"/>
      <w:lvlText w:val="%6."/>
      <w:lvlJc w:val="right"/>
      <w:pPr>
        <w:ind w:left="4320" w:hanging="180"/>
      </w:pPr>
    </w:lvl>
    <w:lvl w:ilvl="6" w:tplc="1CEE2E90">
      <w:start w:val="1"/>
      <w:numFmt w:val="decimal"/>
      <w:lvlText w:val="%7."/>
      <w:lvlJc w:val="left"/>
      <w:pPr>
        <w:ind w:left="5040" w:hanging="360"/>
      </w:pPr>
    </w:lvl>
    <w:lvl w:ilvl="7" w:tplc="B852BD6C">
      <w:start w:val="1"/>
      <w:numFmt w:val="lowerLetter"/>
      <w:lvlText w:val="%8."/>
      <w:lvlJc w:val="left"/>
      <w:pPr>
        <w:ind w:left="5760" w:hanging="360"/>
      </w:pPr>
    </w:lvl>
    <w:lvl w:ilvl="8" w:tplc="6CCC3A20">
      <w:start w:val="1"/>
      <w:numFmt w:val="lowerRoman"/>
      <w:lvlText w:val="%9."/>
      <w:lvlJc w:val="right"/>
      <w:pPr>
        <w:ind w:left="6480" w:hanging="180"/>
      </w:pPr>
    </w:lvl>
  </w:abstractNum>
  <w:abstractNum w:abstractNumId="4" w15:restartNumberingAfterBreak="0">
    <w:nsid w:val="0CED1040"/>
    <w:multiLevelType w:val="multilevel"/>
    <w:tmpl w:val="9C6C72D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B5BE1"/>
    <w:multiLevelType w:val="hybridMultilevel"/>
    <w:tmpl w:val="203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75CF8"/>
    <w:multiLevelType w:val="hybridMultilevel"/>
    <w:tmpl w:val="D5B8A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9088F"/>
    <w:multiLevelType w:val="hybridMultilevel"/>
    <w:tmpl w:val="2E90B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842B732">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76295"/>
    <w:multiLevelType w:val="hybridMultilevel"/>
    <w:tmpl w:val="522A8B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BA32DC"/>
    <w:multiLevelType w:val="hybridMultilevel"/>
    <w:tmpl w:val="1F0EA83E"/>
    <w:lvl w:ilvl="0" w:tplc="792E456E">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0470E"/>
    <w:multiLevelType w:val="hybridMultilevel"/>
    <w:tmpl w:val="37DEC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F55A47"/>
    <w:multiLevelType w:val="multilevel"/>
    <w:tmpl w:val="642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BCFF5"/>
    <w:multiLevelType w:val="hybridMultilevel"/>
    <w:tmpl w:val="2B364192"/>
    <w:lvl w:ilvl="0" w:tplc="D24668EA">
      <w:start w:val="1"/>
      <w:numFmt w:val="bullet"/>
      <w:lvlText w:val=""/>
      <w:lvlJc w:val="left"/>
      <w:pPr>
        <w:ind w:left="720" w:hanging="360"/>
      </w:pPr>
      <w:rPr>
        <w:rFonts w:ascii="Symbol" w:hAnsi="Symbol" w:hint="default"/>
      </w:rPr>
    </w:lvl>
    <w:lvl w:ilvl="1" w:tplc="67F6CFAA">
      <w:start w:val="1"/>
      <w:numFmt w:val="bullet"/>
      <w:lvlText w:val="o"/>
      <w:lvlJc w:val="left"/>
      <w:pPr>
        <w:ind w:left="1440" w:hanging="360"/>
      </w:pPr>
      <w:rPr>
        <w:rFonts w:ascii="Courier New" w:hAnsi="Courier New" w:hint="default"/>
      </w:rPr>
    </w:lvl>
    <w:lvl w:ilvl="2" w:tplc="292CED86">
      <w:start w:val="1"/>
      <w:numFmt w:val="bullet"/>
      <w:lvlText w:val=""/>
      <w:lvlJc w:val="left"/>
      <w:pPr>
        <w:ind w:left="2160" w:hanging="360"/>
      </w:pPr>
      <w:rPr>
        <w:rFonts w:ascii="Wingdings" w:hAnsi="Wingdings" w:hint="default"/>
      </w:rPr>
    </w:lvl>
    <w:lvl w:ilvl="3" w:tplc="ADD680E2">
      <w:start w:val="1"/>
      <w:numFmt w:val="bullet"/>
      <w:lvlText w:val=""/>
      <w:lvlJc w:val="left"/>
      <w:pPr>
        <w:ind w:left="2880" w:hanging="360"/>
      </w:pPr>
      <w:rPr>
        <w:rFonts w:ascii="Symbol" w:hAnsi="Symbol" w:hint="default"/>
      </w:rPr>
    </w:lvl>
    <w:lvl w:ilvl="4" w:tplc="E9F293E4">
      <w:start w:val="1"/>
      <w:numFmt w:val="bullet"/>
      <w:lvlText w:val="o"/>
      <w:lvlJc w:val="left"/>
      <w:pPr>
        <w:ind w:left="3600" w:hanging="360"/>
      </w:pPr>
      <w:rPr>
        <w:rFonts w:ascii="Courier New" w:hAnsi="Courier New" w:hint="default"/>
      </w:rPr>
    </w:lvl>
    <w:lvl w:ilvl="5" w:tplc="2C6EE4B6">
      <w:start w:val="1"/>
      <w:numFmt w:val="bullet"/>
      <w:lvlText w:val=""/>
      <w:lvlJc w:val="left"/>
      <w:pPr>
        <w:ind w:left="4320" w:hanging="360"/>
      </w:pPr>
      <w:rPr>
        <w:rFonts w:ascii="Wingdings" w:hAnsi="Wingdings" w:hint="default"/>
      </w:rPr>
    </w:lvl>
    <w:lvl w:ilvl="6" w:tplc="978A0F7E">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AD147B44">
      <w:start w:val="1"/>
      <w:numFmt w:val="bullet"/>
      <w:lvlText w:val=""/>
      <w:lvlJc w:val="left"/>
      <w:pPr>
        <w:ind w:left="6480" w:hanging="360"/>
      </w:pPr>
      <w:rPr>
        <w:rFonts w:ascii="Wingdings" w:hAnsi="Wingdings" w:hint="default"/>
      </w:rPr>
    </w:lvl>
  </w:abstractNum>
  <w:abstractNum w:abstractNumId="13" w15:restartNumberingAfterBreak="0">
    <w:nsid w:val="36D23342"/>
    <w:multiLevelType w:val="hybridMultilevel"/>
    <w:tmpl w:val="3B0C905A"/>
    <w:lvl w:ilvl="0" w:tplc="62A83FF2">
      <w:start w:val="1"/>
      <w:numFmt w:val="bullet"/>
      <w:lvlText w:val=""/>
      <w:lvlJc w:val="left"/>
      <w:pPr>
        <w:ind w:left="360" w:hanging="360"/>
      </w:pPr>
      <w:rPr>
        <w:rFonts w:ascii="Symbol" w:hAnsi="Symbol" w:hint="default"/>
      </w:rPr>
    </w:lvl>
    <w:lvl w:ilvl="1" w:tplc="9842B732">
      <w:start w:val="1"/>
      <w:numFmt w:val="bullet"/>
      <w:lvlText w:val="o"/>
      <w:lvlJc w:val="left"/>
      <w:pPr>
        <w:ind w:left="1080" w:hanging="360"/>
      </w:pPr>
      <w:rPr>
        <w:rFonts w:ascii="Courier New" w:hAnsi="Courier New" w:hint="default"/>
      </w:rPr>
    </w:lvl>
    <w:lvl w:ilvl="2" w:tplc="A19EABE8">
      <w:start w:val="1"/>
      <w:numFmt w:val="bullet"/>
      <w:lvlText w:val=""/>
      <w:lvlJc w:val="left"/>
      <w:pPr>
        <w:ind w:left="1800" w:hanging="360"/>
      </w:pPr>
      <w:rPr>
        <w:rFonts w:ascii="Wingdings" w:hAnsi="Wingdings" w:hint="default"/>
      </w:rPr>
    </w:lvl>
    <w:lvl w:ilvl="3" w:tplc="97D07348">
      <w:start w:val="1"/>
      <w:numFmt w:val="bullet"/>
      <w:lvlText w:val=""/>
      <w:lvlJc w:val="left"/>
      <w:pPr>
        <w:ind w:left="2520" w:hanging="360"/>
      </w:pPr>
      <w:rPr>
        <w:rFonts w:ascii="Symbol" w:hAnsi="Symbol" w:hint="default"/>
      </w:rPr>
    </w:lvl>
    <w:lvl w:ilvl="4" w:tplc="EBD85BA2">
      <w:start w:val="1"/>
      <w:numFmt w:val="bullet"/>
      <w:lvlText w:val="o"/>
      <w:lvlJc w:val="left"/>
      <w:pPr>
        <w:ind w:left="3240" w:hanging="360"/>
      </w:pPr>
      <w:rPr>
        <w:rFonts w:ascii="Courier New" w:hAnsi="Courier New" w:hint="default"/>
      </w:rPr>
    </w:lvl>
    <w:lvl w:ilvl="5" w:tplc="DD54776C">
      <w:start w:val="1"/>
      <w:numFmt w:val="bullet"/>
      <w:lvlText w:val=""/>
      <w:lvlJc w:val="left"/>
      <w:pPr>
        <w:ind w:left="3960" w:hanging="360"/>
      </w:pPr>
      <w:rPr>
        <w:rFonts w:ascii="Wingdings" w:hAnsi="Wingdings" w:hint="default"/>
      </w:rPr>
    </w:lvl>
    <w:lvl w:ilvl="6" w:tplc="D5AE2168">
      <w:start w:val="1"/>
      <w:numFmt w:val="bullet"/>
      <w:lvlText w:val=""/>
      <w:lvlJc w:val="left"/>
      <w:pPr>
        <w:ind w:left="4680" w:hanging="360"/>
      </w:pPr>
      <w:rPr>
        <w:rFonts w:ascii="Symbol" w:hAnsi="Symbol" w:hint="default"/>
      </w:rPr>
    </w:lvl>
    <w:lvl w:ilvl="7" w:tplc="09266426">
      <w:start w:val="1"/>
      <w:numFmt w:val="bullet"/>
      <w:lvlText w:val="o"/>
      <w:lvlJc w:val="left"/>
      <w:pPr>
        <w:ind w:left="5400" w:hanging="360"/>
      </w:pPr>
      <w:rPr>
        <w:rFonts w:ascii="Courier New" w:hAnsi="Courier New" w:hint="default"/>
      </w:rPr>
    </w:lvl>
    <w:lvl w:ilvl="8" w:tplc="7BC81A36">
      <w:start w:val="1"/>
      <w:numFmt w:val="bullet"/>
      <w:lvlText w:val=""/>
      <w:lvlJc w:val="left"/>
      <w:pPr>
        <w:ind w:left="6120" w:hanging="360"/>
      </w:pPr>
      <w:rPr>
        <w:rFonts w:ascii="Wingdings" w:hAnsi="Wingdings" w:hint="default"/>
      </w:rPr>
    </w:lvl>
  </w:abstractNum>
  <w:abstractNum w:abstractNumId="14" w15:restartNumberingAfterBreak="0">
    <w:nsid w:val="3D790272"/>
    <w:multiLevelType w:val="multilevel"/>
    <w:tmpl w:val="171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1F5608"/>
    <w:multiLevelType w:val="multilevel"/>
    <w:tmpl w:val="B8E48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0140B"/>
    <w:multiLevelType w:val="hybridMultilevel"/>
    <w:tmpl w:val="7DDCF234"/>
    <w:lvl w:ilvl="0" w:tplc="85161352">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73A4"/>
    <w:multiLevelType w:val="hybridMultilevel"/>
    <w:tmpl w:val="659E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716A2"/>
    <w:multiLevelType w:val="multilevel"/>
    <w:tmpl w:val="17E6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97B8B"/>
    <w:multiLevelType w:val="hybridMultilevel"/>
    <w:tmpl w:val="FA6A5736"/>
    <w:lvl w:ilvl="0" w:tplc="238E7632">
      <w:start w:val="1"/>
      <w:numFmt w:val="bullet"/>
      <w:lvlText w:val=""/>
      <w:lvlJc w:val="left"/>
      <w:pPr>
        <w:ind w:left="720" w:hanging="360"/>
      </w:pPr>
      <w:rPr>
        <w:rFonts w:ascii="Symbol" w:hAnsi="Symbol" w:hint="default"/>
      </w:rPr>
    </w:lvl>
    <w:lvl w:ilvl="1" w:tplc="EBE66C9A">
      <w:start w:val="1"/>
      <w:numFmt w:val="bullet"/>
      <w:lvlText w:val="o"/>
      <w:lvlJc w:val="left"/>
      <w:pPr>
        <w:ind w:left="1440" w:hanging="360"/>
      </w:pPr>
      <w:rPr>
        <w:rFonts w:ascii="Courier New" w:hAnsi="Courier New" w:hint="default"/>
      </w:rPr>
    </w:lvl>
    <w:lvl w:ilvl="2" w:tplc="EE6403E2">
      <w:start w:val="1"/>
      <w:numFmt w:val="bullet"/>
      <w:lvlText w:val=""/>
      <w:lvlJc w:val="left"/>
      <w:pPr>
        <w:ind w:left="2160" w:hanging="360"/>
      </w:pPr>
      <w:rPr>
        <w:rFonts w:ascii="Wingdings" w:hAnsi="Wingdings" w:hint="default"/>
      </w:rPr>
    </w:lvl>
    <w:lvl w:ilvl="3" w:tplc="37A4E7C4">
      <w:start w:val="1"/>
      <w:numFmt w:val="bullet"/>
      <w:lvlText w:val=""/>
      <w:lvlJc w:val="left"/>
      <w:pPr>
        <w:ind w:left="2880" w:hanging="360"/>
      </w:pPr>
      <w:rPr>
        <w:rFonts w:ascii="Symbol" w:hAnsi="Symbol" w:hint="default"/>
      </w:rPr>
    </w:lvl>
    <w:lvl w:ilvl="4" w:tplc="F65CE202">
      <w:start w:val="1"/>
      <w:numFmt w:val="bullet"/>
      <w:lvlText w:val="o"/>
      <w:lvlJc w:val="left"/>
      <w:pPr>
        <w:ind w:left="3600" w:hanging="360"/>
      </w:pPr>
      <w:rPr>
        <w:rFonts w:ascii="Courier New" w:hAnsi="Courier New" w:hint="default"/>
      </w:rPr>
    </w:lvl>
    <w:lvl w:ilvl="5" w:tplc="E8F232F6">
      <w:start w:val="1"/>
      <w:numFmt w:val="bullet"/>
      <w:lvlText w:val=""/>
      <w:lvlJc w:val="left"/>
      <w:pPr>
        <w:ind w:left="4320" w:hanging="360"/>
      </w:pPr>
      <w:rPr>
        <w:rFonts w:ascii="Wingdings" w:hAnsi="Wingdings" w:hint="default"/>
      </w:rPr>
    </w:lvl>
    <w:lvl w:ilvl="6" w:tplc="4CD02824">
      <w:start w:val="1"/>
      <w:numFmt w:val="bullet"/>
      <w:lvlText w:val=""/>
      <w:lvlJc w:val="left"/>
      <w:pPr>
        <w:ind w:left="5040" w:hanging="360"/>
      </w:pPr>
      <w:rPr>
        <w:rFonts w:ascii="Symbol" w:hAnsi="Symbol" w:hint="default"/>
      </w:rPr>
    </w:lvl>
    <w:lvl w:ilvl="7" w:tplc="3A6242D4">
      <w:start w:val="1"/>
      <w:numFmt w:val="bullet"/>
      <w:lvlText w:val="o"/>
      <w:lvlJc w:val="left"/>
      <w:pPr>
        <w:ind w:left="5760" w:hanging="360"/>
      </w:pPr>
      <w:rPr>
        <w:rFonts w:ascii="Courier New" w:hAnsi="Courier New" w:hint="default"/>
      </w:rPr>
    </w:lvl>
    <w:lvl w:ilvl="8" w:tplc="3F481502">
      <w:start w:val="1"/>
      <w:numFmt w:val="bullet"/>
      <w:lvlText w:val=""/>
      <w:lvlJc w:val="left"/>
      <w:pPr>
        <w:ind w:left="6480" w:hanging="360"/>
      </w:pPr>
      <w:rPr>
        <w:rFonts w:ascii="Wingdings" w:hAnsi="Wingdings" w:hint="default"/>
      </w:rPr>
    </w:lvl>
  </w:abstractNum>
  <w:abstractNum w:abstractNumId="20" w15:restartNumberingAfterBreak="0">
    <w:nsid w:val="4D1C1AAB"/>
    <w:multiLevelType w:val="hybridMultilevel"/>
    <w:tmpl w:val="1AD47588"/>
    <w:lvl w:ilvl="0" w:tplc="6E2C308C">
      <w:start w:val="1"/>
      <w:numFmt w:val="bullet"/>
      <w:lvlText w:val=""/>
      <w:lvlJc w:val="left"/>
      <w:pPr>
        <w:ind w:left="720" w:hanging="360"/>
      </w:pPr>
      <w:rPr>
        <w:rFonts w:ascii="Symbol" w:hAnsi="Symbol" w:hint="default"/>
      </w:rPr>
    </w:lvl>
    <w:lvl w:ilvl="1" w:tplc="BE706AF4">
      <w:start w:val="1"/>
      <w:numFmt w:val="bullet"/>
      <w:lvlText w:val="o"/>
      <w:lvlJc w:val="left"/>
      <w:pPr>
        <w:ind w:left="1440" w:hanging="360"/>
      </w:pPr>
      <w:rPr>
        <w:rFonts w:ascii="Courier New" w:hAnsi="Courier New" w:hint="default"/>
      </w:rPr>
    </w:lvl>
    <w:lvl w:ilvl="2" w:tplc="7966B1B8">
      <w:start w:val="1"/>
      <w:numFmt w:val="bullet"/>
      <w:lvlText w:val=""/>
      <w:lvlJc w:val="left"/>
      <w:pPr>
        <w:ind w:left="2160" w:hanging="360"/>
      </w:pPr>
      <w:rPr>
        <w:rFonts w:ascii="Wingdings" w:hAnsi="Wingdings" w:hint="default"/>
      </w:rPr>
    </w:lvl>
    <w:lvl w:ilvl="3" w:tplc="610ED574">
      <w:start w:val="1"/>
      <w:numFmt w:val="bullet"/>
      <w:lvlText w:val=""/>
      <w:lvlJc w:val="left"/>
      <w:pPr>
        <w:ind w:left="2880" w:hanging="360"/>
      </w:pPr>
      <w:rPr>
        <w:rFonts w:ascii="Symbol" w:hAnsi="Symbol" w:hint="default"/>
      </w:rPr>
    </w:lvl>
    <w:lvl w:ilvl="4" w:tplc="58CE42F2">
      <w:start w:val="1"/>
      <w:numFmt w:val="bullet"/>
      <w:lvlText w:val="o"/>
      <w:lvlJc w:val="left"/>
      <w:pPr>
        <w:ind w:left="3600" w:hanging="360"/>
      </w:pPr>
      <w:rPr>
        <w:rFonts w:ascii="Courier New" w:hAnsi="Courier New" w:hint="default"/>
      </w:rPr>
    </w:lvl>
    <w:lvl w:ilvl="5" w:tplc="AF54A0AA">
      <w:start w:val="1"/>
      <w:numFmt w:val="bullet"/>
      <w:lvlText w:val=""/>
      <w:lvlJc w:val="left"/>
      <w:pPr>
        <w:ind w:left="4320" w:hanging="360"/>
      </w:pPr>
      <w:rPr>
        <w:rFonts w:ascii="Wingdings" w:hAnsi="Wingdings" w:hint="default"/>
      </w:rPr>
    </w:lvl>
    <w:lvl w:ilvl="6" w:tplc="146007E6">
      <w:start w:val="1"/>
      <w:numFmt w:val="bullet"/>
      <w:lvlText w:val=""/>
      <w:lvlJc w:val="left"/>
      <w:pPr>
        <w:ind w:left="5040" w:hanging="360"/>
      </w:pPr>
      <w:rPr>
        <w:rFonts w:ascii="Symbol" w:hAnsi="Symbol" w:hint="default"/>
      </w:rPr>
    </w:lvl>
    <w:lvl w:ilvl="7" w:tplc="7F1AA11C">
      <w:start w:val="1"/>
      <w:numFmt w:val="bullet"/>
      <w:lvlText w:val="o"/>
      <w:lvlJc w:val="left"/>
      <w:pPr>
        <w:ind w:left="5760" w:hanging="360"/>
      </w:pPr>
      <w:rPr>
        <w:rFonts w:ascii="Courier New" w:hAnsi="Courier New" w:hint="default"/>
      </w:rPr>
    </w:lvl>
    <w:lvl w:ilvl="8" w:tplc="395629A0">
      <w:start w:val="1"/>
      <w:numFmt w:val="bullet"/>
      <w:lvlText w:val=""/>
      <w:lvlJc w:val="left"/>
      <w:pPr>
        <w:ind w:left="6480" w:hanging="360"/>
      </w:pPr>
      <w:rPr>
        <w:rFonts w:ascii="Wingdings" w:hAnsi="Wingdings" w:hint="default"/>
      </w:rPr>
    </w:lvl>
  </w:abstractNum>
  <w:abstractNum w:abstractNumId="21" w15:restartNumberingAfterBreak="0">
    <w:nsid w:val="50F10072"/>
    <w:multiLevelType w:val="multilevel"/>
    <w:tmpl w:val="99ACE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5767C7"/>
    <w:multiLevelType w:val="hybridMultilevel"/>
    <w:tmpl w:val="1CCE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5228B4"/>
    <w:multiLevelType w:val="hybridMultilevel"/>
    <w:tmpl w:val="EF44C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76F8F"/>
    <w:multiLevelType w:val="multilevel"/>
    <w:tmpl w:val="3B627D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C0D17"/>
    <w:multiLevelType w:val="hybridMultilevel"/>
    <w:tmpl w:val="5366F522"/>
    <w:lvl w:ilvl="0" w:tplc="9C38A086">
      <w:start w:val="1"/>
      <w:numFmt w:val="bullet"/>
      <w:lvlText w:val=""/>
      <w:lvlJc w:val="left"/>
      <w:pPr>
        <w:ind w:left="720" w:hanging="360"/>
      </w:pPr>
      <w:rPr>
        <w:rFonts w:ascii="Symbol" w:hAnsi="Symbol" w:hint="default"/>
      </w:rPr>
    </w:lvl>
    <w:lvl w:ilvl="1" w:tplc="DA8832D6">
      <w:start w:val="1"/>
      <w:numFmt w:val="bullet"/>
      <w:lvlText w:val="o"/>
      <w:lvlJc w:val="left"/>
      <w:pPr>
        <w:ind w:left="1440" w:hanging="360"/>
      </w:pPr>
      <w:rPr>
        <w:rFonts w:ascii="Courier New" w:hAnsi="Courier New" w:hint="default"/>
      </w:rPr>
    </w:lvl>
    <w:lvl w:ilvl="2" w:tplc="8398E850">
      <w:start w:val="1"/>
      <w:numFmt w:val="bullet"/>
      <w:lvlText w:val=""/>
      <w:lvlJc w:val="left"/>
      <w:pPr>
        <w:ind w:left="2160" w:hanging="360"/>
      </w:pPr>
      <w:rPr>
        <w:rFonts w:ascii="Wingdings" w:hAnsi="Wingdings" w:hint="default"/>
      </w:rPr>
    </w:lvl>
    <w:lvl w:ilvl="3" w:tplc="EF263D8E">
      <w:start w:val="1"/>
      <w:numFmt w:val="bullet"/>
      <w:lvlText w:val=""/>
      <w:lvlJc w:val="left"/>
      <w:pPr>
        <w:ind w:left="2880" w:hanging="360"/>
      </w:pPr>
      <w:rPr>
        <w:rFonts w:ascii="Symbol" w:hAnsi="Symbol" w:hint="default"/>
      </w:rPr>
    </w:lvl>
    <w:lvl w:ilvl="4" w:tplc="D0B2DA34">
      <w:start w:val="1"/>
      <w:numFmt w:val="bullet"/>
      <w:lvlText w:val="o"/>
      <w:lvlJc w:val="left"/>
      <w:pPr>
        <w:ind w:left="3600" w:hanging="360"/>
      </w:pPr>
      <w:rPr>
        <w:rFonts w:ascii="Courier New" w:hAnsi="Courier New" w:hint="default"/>
      </w:rPr>
    </w:lvl>
    <w:lvl w:ilvl="5" w:tplc="AE6E4A7E">
      <w:start w:val="1"/>
      <w:numFmt w:val="bullet"/>
      <w:lvlText w:val=""/>
      <w:lvlJc w:val="left"/>
      <w:pPr>
        <w:ind w:left="4320" w:hanging="360"/>
      </w:pPr>
      <w:rPr>
        <w:rFonts w:ascii="Wingdings" w:hAnsi="Wingdings" w:hint="default"/>
      </w:rPr>
    </w:lvl>
    <w:lvl w:ilvl="6" w:tplc="1A520A48">
      <w:start w:val="1"/>
      <w:numFmt w:val="bullet"/>
      <w:lvlText w:val=""/>
      <w:lvlJc w:val="left"/>
      <w:pPr>
        <w:ind w:left="5040" w:hanging="360"/>
      </w:pPr>
      <w:rPr>
        <w:rFonts w:ascii="Symbol" w:hAnsi="Symbol" w:hint="default"/>
      </w:rPr>
    </w:lvl>
    <w:lvl w:ilvl="7" w:tplc="E5CEBBC2">
      <w:start w:val="1"/>
      <w:numFmt w:val="bullet"/>
      <w:lvlText w:val="o"/>
      <w:lvlJc w:val="left"/>
      <w:pPr>
        <w:ind w:left="5760" w:hanging="360"/>
      </w:pPr>
      <w:rPr>
        <w:rFonts w:ascii="Courier New" w:hAnsi="Courier New" w:hint="default"/>
      </w:rPr>
    </w:lvl>
    <w:lvl w:ilvl="8" w:tplc="B4C43790">
      <w:start w:val="1"/>
      <w:numFmt w:val="bullet"/>
      <w:lvlText w:val=""/>
      <w:lvlJc w:val="left"/>
      <w:pPr>
        <w:ind w:left="6480" w:hanging="360"/>
      </w:pPr>
      <w:rPr>
        <w:rFonts w:ascii="Wingdings" w:hAnsi="Wingdings" w:hint="default"/>
      </w:rPr>
    </w:lvl>
  </w:abstractNum>
  <w:abstractNum w:abstractNumId="26" w15:restartNumberingAfterBreak="0">
    <w:nsid w:val="5FB2679B"/>
    <w:multiLevelType w:val="hybridMultilevel"/>
    <w:tmpl w:val="015C8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513D3B"/>
    <w:multiLevelType w:val="multilevel"/>
    <w:tmpl w:val="E8C0C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85DF7"/>
    <w:multiLevelType w:val="multilevel"/>
    <w:tmpl w:val="E4343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2558EE"/>
    <w:multiLevelType w:val="hybridMultilevel"/>
    <w:tmpl w:val="FFFFFFFF"/>
    <w:lvl w:ilvl="0" w:tplc="856E34F0">
      <w:start w:val="1"/>
      <w:numFmt w:val="bullet"/>
      <w:lvlText w:val=""/>
      <w:lvlJc w:val="left"/>
      <w:pPr>
        <w:ind w:left="720" w:hanging="360"/>
      </w:pPr>
      <w:rPr>
        <w:rFonts w:ascii="Symbol" w:hAnsi="Symbol" w:hint="default"/>
      </w:rPr>
    </w:lvl>
    <w:lvl w:ilvl="1" w:tplc="26CCD952">
      <w:start w:val="1"/>
      <w:numFmt w:val="bullet"/>
      <w:lvlText w:val="o"/>
      <w:lvlJc w:val="left"/>
      <w:pPr>
        <w:ind w:left="1440" w:hanging="360"/>
      </w:pPr>
      <w:rPr>
        <w:rFonts w:ascii="Courier New" w:hAnsi="Courier New" w:hint="default"/>
      </w:rPr>
    </w:lvl>
    <w:lvl w:ilvl="2" w:tplc="CCCC26A0">
      <w:start w:val="1"/>
      <w:numFmt w:val="bullet"/>
      <w:lvlText w:val=""/>
      <w:lvlJc w:val="left"/>
      <w:pPr>
        <w:ind w:left="2160" w:hanging="360"/>
      </w:pPr>
      <w:rPr>
        <w:rFonts w:ascii="Wingdings" w:hAnsi="Wingdings" w:hint="default"/>
      </w:rPr>
    </w:lvl>
    <w:lvl w:ilvl="3" w:tplc="1E46A950">
      <w:start w:val="1"/>
      <w:numFmt w:val="bullet"/>
      <w:lvlText w:val=""/>
      <w:lvlJc w:val="left"/>
      <w:pPr>
        <w:ind w:left="2880" w:hanging="360"/>
      </w:pPr>
      <w:rPr>
        <w:rFonts w:ascii="Symbol" w:hAnsi="Symbol" w:hint="default"/>
      </w:rPr>
    </w:lvl>
    <w:lvl w:ilvl="4" w:tplc="D95E8B88">
      <w:start w:val="1"/>
      <w:numFmt w:val="bullet"/>
      <w:lvlText w:val="o"/>
      <w:lvlJc w:val="left"/>
      <w:pPr>
        <w:ind w:left="3600" w:hanging="360"/>
      </w:pPr>
      <w:rPr>
        <w:rFonts w:ascii="Courier New" w:hAnsi="Courier New" w:hint="default"/>
      </w:rPr>
    </w:lvl>
    <w:lvl w:ilvl="5" w:tplc="84FAFC0A">
      <w:start w:val="1"/>
      <w:numFmt w:val="bullet"/>
      <w:lvlText w:val=""/>
      <w:lvlJc w:val="left"/>
      <w:pPr>
        <w:ind w:left="4320" w:hanging="360"/>
      </w:pPr>
      <w:rPr>
        <w:rFonts w:ascii="Wingdings" w:hAnsi="Wingdings" w:hint="default"/>
      </w:rPr>
    </w:lvl>
    <w:lvl w:ilvl="6" w:tplc="8DA0C8E8">
      <w:start w:val="1"/>
      <w:numFmt w:val="bullet"/>
      <w:lvlText w:val=""/>
      <w:lvlJc w:val="left"/>
      <w:pPr>
        <w:ind w:left="5040" w:hanging="360"/>
      </w:pPr>
      <w:rPr>
        <w:rFonts w:ascii="Symbol" w:hAnsi="Symbol" w:hint="default"/>
      </w:rPr>
    </w:lvl>
    <w:lvl w:ilvl="7" w:tplc="E6D4DA50">
      <w:start w:val="1"/>
      <w:numFmt w:val="bullet"/>
      <w:lvlText w:val="o"/>
      <w:lvlJc w:val="left"/>
      <w:pPr>
        <w:ind w:left="5760" w:hanging="360"/>
      </w:pPr>
      <w:rPr>
        <w:rFonts w:ascii="Courier New" w:hAnsi="Courier New" w:hint="default"/>
      </w:rPr>
    </w:lvl>
    <w:lvl w:ilvl="8" w:tplc="C2780B32">
      <w:start w:val="1"/>
      <w:numFmt w:val="bullet"/>
      <w:lvlText w:val=""/>
      <w:lvlJc w:val="left"/>
      <w:pPr>
        <w:ind w:left="6480" w:hanging="360"/>
      </w:pPr>
      <w:rPr>
        <w:rFonts w:ascii="Wingdings" w:hAnsi="Wingdings" w:hint="default"/>
      </w:rPr>
    </w:lvl>
  </w:abstractNum>
  <w:abstractNum w:abstractNumId="30" w15:restartNumberingAfterBreak="0">
    <w:nsid w:val="70D31B2D"/>
    <w:multiLevelType w:val="multilevel"/>
    <w:tmpl w:val="8F46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71C21"/>
    <w:multiLevelType w:val="hybridMultilevel"/>
    <w:tmpl w:val="C4D2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B53F97"/>
    <w:multiLevelType w:val="hybridMultilevel"/>
    <w:tmpl w:val="B3622D68"/>
    <w:lvl w:ilvl="0" w:tplc="4FD4E416">
      <w:start w:val="1"/>
      <w:numFmt w:val="decimal"/>
      <w:lvlText w:val="%1."/>
      <w:lvlJc w:val="left"/>
      <w:pPr>
        <w:ind w:left="360" w:hanging="360"/>
      </w:pPr>
    </w:lvl>
    <w:lvl w:ilvl="1" w:tplc="A114124A">
      <w:start w:val="1"/>
      <w:numFmt w:val="lowerLetter"/>
      <w:lvlText w:val="%2."/>
      <w:lvlJc w:val="left"/>
      <w:pPr>
        <w:ind w:left="1080" w:hanging="360"/>
      </w:pPr>
    </w:lvl>
    <w:lvl w:ilvl="2" w:tplc="FB9E609C">
      <w:start w:val="1"/>
      <w:numFmt w:val="lowerRoman"/>
      <w:lvlText w:val="%3."/>
      <w:lvlJc w:val="right"/>
      <w:pPr>
        <w:ind w:left="1800" w:hanging="180"/>
      </w:pPr>
    </w:lvl>
    <w:lvl w:ilvl="3" w:tplc="D9A082E6">
      <w:start w:val="1"/>
      <w:numFmt w:val="decimal"/>
      <w:lvlText w:val="%4."/>
      <w:lvlJc w:val="left"/>
      <w:pPr>
        <w:ind w:left="2520" w:hanging="360"/>
      </w:pPr>
    </w:lvl>
    <w:lvl w:ilvl="4" w:tplc="35AEA6D8">
      <w:start w:val="1"/>
      <w:numFmt w:val="lowerLetter"/>
      <w:lvlText w:val="%5."/>
      <w:lvlJc w:val="left"/>
      <w:pPr>
        <w:ind w:left="3240" w:hanging="360"/>
      </w:pPr>
    </w:lvl>
    <w:lvl w:ilvl="5" w:tplc="5240B550">
      <w:start w:val="1"/>
      <w:numFmt w:val="lowerRoman"/>
      <w:lvlText w:val="%6."/>
      <w:lvlJc w:val="right"/>
      <w:pPr>
        <w:ind w:left="3960" w:hanging="180"/>
      </w:pPr>
    </w:lvl>
    <w:lvl w:ilvl="6" w:tplc="6DD04BEC">
      <w:start w:val="1"/>
      <w:numFmt w:val="decimal"/>
      <w:lvlText w:val="%7."/>
      <w:lvlJc w:val="left"/>
      <w:pPr>
        <w:ind w:left="4680" w:hanging="360"/>
      </w:pPr>
    </w:lvl>
    <w:lvl w:ilvl="7" w:tplc="111EF5E6">
      <w:start w:val="1"/>
      <w:numFmt w:val="lowerLetter"/>
      <w:lvlText w:val="%8."/>
      <w:lvlJc w:val="left"/>
      <w:pPr>
        <w:ind w:left="5400" w:hanging="360"/>
      </w:pPr>
    </w:lvl>
    <w:lvl w:ilvl="8" w:tplc="3740DFBE">
      <w:start w:val="1"/>
      <w:numFmt w:val="lowerRoman"/>
      <w:lvlText w:val="%9."/>
      <w:lvlJc w:val="right"/>
      <w:pPr>
        <w:ind w:left="6120" w:hanging="180"/>
      </w:pPr>
    </w:lvl>
  </w:abstractNum>
  <w:abstractNum w:abstractNumId="33" w15:restartNumberingAfterBreak="0">
    <w:nsid w:val="746D5D51"/>
    <w:multiLevelType w:val="multilevel"/>
    <w:tmpl w:val="522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7AB339"/>
    <w:multiLevelType w:val="hybridMultilevel"/>
    <w:tmpl w:val="FFFFFFFF"/>
    <w:lvl w:ilvl="0" w:tplc="F392C22A">
      <w:start w:val="1"/>
      <w:numFmt w:val="bullet"/>
      <w:lvlText w:val=""/>
      <w:lvlJc w:val="left"/>
      <w:pPr>
        <w:ind w:left="720" w:hanging="360"/>
      </w:pPr>
      <w:rPr>
        <w:rFonts w:ascii="Symbol" w:hAnsi="Symbol" w:hint="default"/>
      </w:rPr>
    </w:lvl>
    <w:lvl w:ilvl="1" w:tplc="4A6A1A94">
      <w:start w:val="1"/>
      <w:numFmt w:val="bullet"/>
      <w:lvlText w:val="o"/>
      <w:lvlJc w:val="left"/>
      <w:pPr>
        <w:ind w:left="1440" w:hanging="360"/>
      </w:pPr>
      <w:rPr>
        <w:rFonts w:ascii="Courier New" w:hAnsi="Courier New" w:hint="default"/>
      </w:rPr>
    </w:lvl>
    <w:lvl w:ilvl="2" w:tplc="FFD412CE">
      <w:start w:val="1"/>
      <w:numFmt w:val="bullet"/>
      <w:lvlText w:val=""/>
      <w:lvlJc w:val="left"/>
      <w:pPr>
        <w:ind w:left="2160" w:hanging="360"/>
      </w:pPr>
      <w:rPr>
        <w:rFonts w:ascii="Wingdings" w:hAnsi="Wingdings" w:hint="default"/>
      </w:rPr>
    </w:lvl>
    <w:lvl w:ilvl="3" w:tplc="BEEE2418">
      <w:start w:val="1"/>
      <w:numFmt w:val="bullet"/>
      <w:lvlText w:val=""/>
      <w:lvlJc w:val="left"/>
      <w:pPr>
        <w:ind w:left="2880" w:hanging="360"/>
      </w:pPr>
      <w:rPr>
        <w:rFonts w:ascii="Symbol" w:hAnsi="Symbol" w:hint="default"/>
      </w:rPr>
    </w:lvl>
    <w:lvl w:ilvl="4" w:tplc="1E7E20E2">
      <w:start w:val="1"/>
      <w:numFmt w:val="bullet"/>
      <w:lvlText w:val="o"/>
      <w:lvlJc w:val="left"/>
      <w:pPr>
        <w:ind w:left="3600" w:hanging="360"/>
      </w:pPr>
      <w:rPr>
        <w:rFonts w:ascii="Courier New" w:hAnsi="Courier New" w:hint="default"/>
      </w:rPr>
    </w:lvl>
    <w:lvl w:ilvl="5" w:tplc="FB023502">
      <w:start w:val="1"/>
      <w:numFmt w:val="bullet"/>
      <w:lvlText w:val=""/>
      <w:lvlJc w:val="left"/>
      <w:pPr>
        <w:ind w:left="4320" w:hanging="360"/>
      </w:pPr>
      <w:rPr>
        <w:rFonts w:ascii="Wingdings" w:hAnsi="Wingdings" w:hint="default"/>
      </w:rPr>
    </w:lvl>
    <w:lvl w:ilvl="6" w:tplc="0DF6E9E0">
      <w:start w:val="1"/>
      <w:numFmt w:val="bullet"/>
      <w:lvlText w:val=""/>
      <w:lvlJc w:val="left"/>
      <w:pPr>
        <w:ind w:left="5040" w:hanging="360"/>
      </w:pPr>
      <w:rPr>
        <w:rFonts w:ascii="Symbol" w:hAnsi="Symbol" w:hint="default"/>
      </w:rPr>
    </w:lvl>
    <w:lvl w:ilvl="7" w:tplc="DE24B6E4">
      <w:start w:val="1"/>
      <w:numFmt w:val="bullet"/>
      <w:lvlText w:val="o"/>
      <w:lvlJc w:val="left"/>
      <w:pPr>
        <w:ind w:left="5760" w:hanging="360"/>
      </w:pPr>
      <w:rPr>
        <w:rFonts w:ascii="Courier New" w:hAnsi="Courier New" w:hint="default"/>
      </w:rPr>
    </w:lvl>
    <w:lvl w:ilvl="8" w:tplc="020E49C8">
      <w:start w:val="1"/>
      <w:numFmt w:val="bullet"/>
      <w:lvlText w:val=""/>
      <w:lvlJc w:val="left"/>
      <w:pPr>
        <w:ind w:left="6480" w:hanging="360"/>
      </w:pPr>
      <w:rPr>
        <w:rFonts w:ascii="Wingdings" w:hAnsi="Wingdings" w:hint="default"/>
      </w:rPr>
    </w:lvl>
  </w:abstractNum>
  <w:abstractNum w:abstractNumId="35" w15:restartNumberingAfterBreak="0">
    <w:nsid w:val="77624C3A"/>
    <w:multiLevelType w:val="hybridMultilevel"/>
    <w:tmpl w:val="72F47DE4"/>
    <w:lvl w:ilvl="0" w:tplc="EF869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994462">
    <w:abstractNumId w:val="32"/>
  </w:num>
  <w:num w:numId="2" w16cid:durableId="1194420146">
    <w:abstractNumId w:val="13"/>
  </w:num>
  <w:num w:numId="3" w16cid:durableId="1928417830">
    <w:abstractNumId w:val="19"/>
  </w:num>
  <w:num w:numId="4" w16cid:durableId="313336803">
    <w:abstractNumId w:val="25"/>
  </w:num>
  <w:num w:numId="5" w16cid:durableId="1596593781">
    <w:abstractNumId w:val="20"/>
  </w:num>
  <w:num w:numId="6" w16cid:durableId="1768690932">
    <w:abstractNumId w:val="0"/>
  </w:num>
  <w:num w:numId="7" w16cid:durableId="1321157795">
    <w:abstractNumId w:val="12"/>
  </w:num>
  <w:num w:numId="8" w16cid:durableId="142167285">
    <w:abstractNumId w:val="3"/>
  </w:num>
  <w:num w:numId="9" w16cid:durableId="772167757">
    <w:abstractNumId w:val="29"/>
  </w:num>
  <w:num w:numId="10" w16cid:durableId="802381767">
    <w:abstractNumId w:val="34"/>
  </w:num>
  <w:num w:numId="11" w16cid:durableId="1783647320">
    <w:abstractNumId w:val="23"/>
  </w:num>
  <w:num w:numId="12" w16cid:durableId="1621184099">
    <w:abstractNumId w:val="8"/>
  </w:num>
  <w:num w:numId="13" w16cid:durableId="400715051">
    <w:abstractNumId w:val="5"/>
  </w:num>
  <w:num w:numId="14" w16cid:durableId="1131754775">
    <w:abstractNumId w:val="9"/>
  </w:num>
  <w:num w:numId="15" w16cid:durableId="2034305513">
    <w:abstractNumId w:val="16"/>
  </w:num>
  <w:num w:numId="16" w16cid:durableId="2138985467">
    <w:abstractNumId w:val="35"/>
  </w:num>
  <w:num w:numId="17" w16cid:durableId="1148480025">
    <w:abstractNumId w:val="1"/>
  </w:num>
  <w:num w:numId="18" w16cid:durableId="291523972">
    <w:abstractNumId w:val="31"/>
  </w:num>
  <w:num w:numId="19" w16cid:durableId="2113238486">
    <w:abstractNumId w:val="2"/>
  </w:num>
  <w:num w:numId="20" w16cid:durableId="2075545679">
    <w:abstractNumId w:val="7"/>
  </w:num>
  <w:num w:numId="21" w16cid:durableId="1195117974">
    <w:abstractNumId w:val="10"/>
  </w:num>
  <w:num w:numId="22" w16cid:durableId="1371569296">
    <w:abstractNumId w:val="18"/>
  </w:num>
  <w:num w:numId="23" w16cid:durableId="1702124641">
    <w:abstractNumId w:val="33"/>
  </w:num>
  <w:num w:numId="24" w16cid:durableId="1197082581">
    <w:abstractNumId w:val="11"/>
  </w:num>
  <w:num w:numId="25" w16cid:durableId="896864352">
    <w:abstractNumId w:val="14"/>
  </w:num>
  <w:num w:numId="26" w16cid:durableId="1411275786">
    <w:abstractNumId w:val="21"/>
  </w:num>
  <w:num w:numId="27" w16cid:durableId="911236455">
    <w:abstractNumId w:val="30"/>
  </w:num>
  <w:num w:numId="28" w16cid:durableId="320697598">
    <w:abstractNumId w:val="4"/>
  </w:num>
  <w:num w:numId="29" w16cid:durableId="89544482">
    <w:abstractNumId w:val="27"/>
  </w:num>
  <w:num w:numId="30" w16cid:durableId="3097812">
    <w:abstractNumId w:val="28"/>
  </w:num>
  <w:num w:numId="31" w16cid:durableId="1155299977">
    <w:abstractNumId w:val="24"/>
  </w:num>
  <w:num w:numId="32" w16cid:durableId="981470960">
    <w:abstractNumId w:val="15"/>
  </w:num>
  <w:num w:numId="33" w16cid:durableId="54863785">
    <w:abstractNumId w:val="17"/>
  </w:num>
  <w:num w:numId="34" w16cid:durableId="1403528736">
    <w:abstractNumId w:val="22"/>
  </w:num>
  <w:num w:numId="35" w16cid:durableId="1197111706">
    <w:abstractNumId w:val="26"/>
  </w:num>
  <w:num w:numId="36" w16cid:durableId="19473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28"/>
    <w:rsid w:val="00010BBA"/>
    <w:rsid w:val="000167B9"/>
    <w:rsid w:val="00020F8C"/>
    <w:rsid w:val="000215CE"/>
    <w:rsid w:val="00024D7F"/>
    <w:rsid w:val="0003562B"/>
    <w:rsid w:val="00042FC9"/>
    <w:rsid w:val="0004420B"/>
    <w:rsid w:val="00046776"/>
    <w:rsid w:val="00066D51"/>
    <w:rsid w:val="0007352B"/>
    <w:rsid w:val="00074590"/>
    <w:rsid w:val="00084744"/>
    <w:rsid w:val="00085386"/>
    <w:rsid w:val="00087B24"/>
    <w:rsid w:val="00092628"/>
    <w:rsid w:val="000963D2"/>
    <w:rsid w:val="000A2312"/>
    <w:rsid w:val="000A24FA"/>
    <w:rsid w:val="000A557A"/>
    <w:rsid w:val="000C2C48"/>
    <w:rsid w:val="000E1FCF"/>
    <w:rsid w:val="000E752D"/>
    <w:rsid w:val="000F7EDF"/>
    <w:rsid w:val="00103D58"/>
    <w:rsid w:val="00107298"/>
    <w:rsid w:val="0011154C"/>
    <w:rsid w:val="00111594"/>
    <w:rsid w:val="0013096D"/>
    <w:rsid w:val="00135D1C"/>
    <w:rsid w:val="00152D17"/>
    <w:rsid w:val="00154C28"/>
    <w:rsid w:val="001565D4"/>
    <w:rsid w:val="00165CDB"/>
    <w:rsid w:val="00180F6D"/>
    <w:rsid w:val="00184929"/>
    <w:rsid w:val="00184A8A"/>
    <w:rsid w:val="001C2A2C"/>
    <w:rsid w:val="001D2059"/>
    <w:rsid w:val="001F2601"/>
    <w:rsid w:val="001F2A62"/>
    <w:rsid w:val="001F597B"/>
    <w:rsid w:val="002014EA"/>
    <w:rsid w:val="00202151"/>
    <w:rsid w:val="00205BD7"/>
    <w:rsid w:val="00212B4C"/>
    <w:rsid w:val="002474DA"/>
    <w:rsid w:val="002715DC"/>
    <w:rsid w:val="00272133"/>
    <w:rsid w:val="00283487"/>
    <w:rsid w:val="00287AF8"/>
    <w:rsid w:val="002916B2"/>
    <w:rsid w:val="002A2355"/>
    <w:rsid w:val="002A7FBB"/>
    <w:rsid w:val="002C31F3"/>
    <w:rsid w:val="002C379B"/>
    <w:rsid w:val="002C4844"/>
    <w:rsid w:val="002C67FD"/>
    <w:rsid w:val="002C6B89"/>
    <w:rsid w:val="002C755E"/>
    <w:rsid w:val="002E0D7C"/>
    <w:rsid w:val="002F1815"/>
    <w:rsid w:val="00307850"/>
    <w:rsid w:val="00325DDA"/>
    <w:rsid w:val="00340E85"/>
    <w:rsid w:val="00342996"/>
    <w:rsid w:val="0034552C"/>
    <w:rsid w:val="00347112"/>
    <w:rsid w:val="003472BE"/>
    <w:rsid w:val="003656E8"/>
    <w:rsid w:val="00381288"/>
    <w:rsid w:val="00392067"/>
    <w:rsid w:val="003923DC"/>
    <w:rsid w:val="003932F8"/>
    <w:rsid w:val="00397746"/>
    <w:rsid w:val="003B723D"/>
    <w:rsid w:val="003C055E"/>
    <w:rsid w:val="003C0CE9"/>
    <w:rsid w:val="003C0E8A"/>
    <w:rsid w:val="003C44E5"/>
    <w:rsid w:val="003C4E30"/>
    <w:rsid w:val="003C4EE0"/>
    <w:rsid w:val="003C556F"/>
    <w:rsid w:val="003D0F0E"/>
    <w:rsid w:val="003E39D5"/>
    <w:rsid w:val="003E4CC6"/>
    <w:rsid w:val="003F0251"/>
    <w:rsid w:val="00402E64"/>
    <w:rsid w:val="004109B2"/>
    <w:rsid w:val="00412F27"/>
    <w:rsid w:val="00427465"/>
    <w:rsid w:val="00432DB9"/>
    <w:rsid w:val="00435063"/>
    <w:rsid w:val="0044001E"/>
    <w:rsid w:val="00455F6A"/>
    <w:rsid w:val="004643FA"/>
    <w:rsid w:val="004659D6"/>
    <w:rsid w:val="00493816"/>
    <w:rsid w:val="004A3E0F"/>
    <w:rsid w:val="004C7F18"/>
    <w:rsid w:val="004D0F08"/>
    <w:rsid w:val="004D32E4"/>
    <w:rsid w:val="004E4EAD"/>
    <w:rsid w:val="004E679C"/>
    <w:rsid w:val="004E743A"/>
    <w:rsid w:val="005037CF"/>
    <w:rsid w:val="005049AA"/>
    <w:rsid w:val="0051092C"/>
    <w:rsid w:val="00510932"/>
    <w:rsid w:val="00524EBF"/>
    <w:rsid w:val="00540AE8"/>
    <w:rsid w:val="00543962"/>
    <w:rsid w:val="00550DA1"/>
    <w:rsid w:val="00552635"/>
    <w:rsid w:val="00560150"/>
    <w:rsid w:val="00561059"/>
    <w:rsid w:val="00563F78"/>
    <w:rsid w:val="005645E6"/>
    <w:rsid w:val="005662D6"/>
    <w:rsid w:val="00566415"/>
    <w:rsid w:val="005774EE"/>
    <w:rsid w:val="00582F6D"/>
    <w:rsid w:val="005A2936"/>
    <w:rsid w:val="005B0D9E"/>
    <w:rsid w:val="005B2F74"/>
    <w:rsid w:val="005B7AAA"/>
    <w:rsid w:val="005C2753"/>
    <w:rsid w:val="005D2BD7"/>
    <w:rsid w:val="005E0E2F"/>
    <w:rsid w:val="005F06C2"/>
    <w:rsid w:val="005F5762"/>
    <w:rsid w:val="006058CA"/>
    <w:rsid w:val="00607D59"/>
    <w:rsid w:val="0061676E"/>
    <w:rsid w:val="006232D7"/>
    <w:rsid w:val="0062449E"/>
    <w:rsid w:val="0062692B"/>
    <w:rsid w:val="006333F2"/>
    <w:rsid w:val="00665385"/>
    <w:rsid w:val="00665F5A"/>
    <w:rsid w:val="0068416A"/>
    <w:rsid w:val="00697B8C"/>
    <w:rsid w:val="006A41E9"/>
    <w:rsid w:val="006A576B"/>
    <w:rsid w:val="006B2E3D"/>
    <w:rsid w:val="006D15E3"/>
    <w:rsid w:val="006D1F18"/>
    <w:rsid w:val="006D267F"/>
    <w:rsid w:val="006D2EF8"/>
    <w:rsid w:val="00702C20"/>
    <w:rsid w:val="0071290E"/>
    <w:rsid w:val="00721421"/>
    <w:rsid w:val="0073162E"/>
    <w:rsid w:val="007534CB"/>
    <w:rsid w:val="00781B78"/>
    <w:rsid w:val="00784926"/>
    <w:rsid w:val="007874AF"/>
    <w:rsid w:val="007911F0"/>
    <w:rsid w:val="00791A6C"/>
    <w:rsid w:val="00796A8E"/>
    <w:rsid w:val="007C1E51"/>
    <w:rsid w:val="007D4389"/>
    <w:rsid w:val="007F433A"/>
    <w:rsid w:val="007F78E5"/>
    <w:rsid w:val="007F7D92"/>
    <w:rsid w:val="00802161"/>
    <w:rsid w:val="00806E83"/>
    <w:rsid w:val="00815DE6"/>
    <w:rsid w:val="00820D5E"/>
    <w:rsid w:val="00822AFE"/>
    <w:rsid w:val="00823E9B"/>
    <w:rsid w:val="008269BB"/>
    <w:rsid w:val="008272BA"/>
    <w:rsid w:val="0082750A"/>
    <w:rsid w:val="0085192D"/>
    <w:rsid w:val="0086312A"/>
    <w:rsid w:val="00863C49"/>
    <w:rsid w:val="00876329"/>
    <w:rsid w:val="00881E7D"/>
    <w:rsid w:val="0088794C"/>
    <w:rsid w:val="008901FF"/>
    <w:rsid w:val="008A271B"/>
    <w:rsid w:val="008A2D52"/>
    <w:rsid w:val="008C7AEC"/>
    <w:rsid w:val="008F01DA"/>
    <w:rsid w:val="008F3FFD"/>
    <w:rsid w:val="008F706D"/>
    <w:rsid w:val="00904B22"/>
    <w:rsid w:val="00905B8B"/>
    <w:rsid w:val="009114B3"/>
    <w:rsid w:val="0091581A"/>
    <w:rsid w:val="00924416"/>
    <w:rsid w:val="00930809"/>
    <w:rsid w:val="00936234"/>
    <w:rsid w:val="00937D2B"/>
    <w:rsid w:val="00941D9E"/>
    <w:rsid w:val="00945BFF"/>
    <w:rsid w:val="009507DD"/>
    <w:rsid w:val="0095261A"/>
    <w:rsid w:val="0095761C"/>
    <w:rsid w:val="00973D77"/>
    <w:rsid w:val="0099216B"/>
    <w:rsid w:val="00996151"/>
    <w:rsid w:val="009962AA"/>
    <w:rsid w:val="00996D97"/>
    <w:rsid w:val="009A2827"/>
    <w:rsid w:val="009A30D5"/>
    <w:rsid w:val="009A7121"/>
    <w:rsid w:val="009F1BCF"/>
    <w:rsid w:val="009F7435"/>
    <w:rsid w:val="00A033AF"/>
    <w:rsid w:val="00A03E1E"/>
    <w:rsid w:val="00A25EF7"/>
    <w:rsid w:val="00A340CE"/>
    <w:rsid w:val="00A44523"/>
    <w:rsid w:val="00A51023"/>
    <w:rsid w:val="00A543C1"/>
    <w:rsid w:val="00A73720"/>
    <w:rsid w:val="00A76882"/>
    <w:rsid w:val="00A7760F"/>
    <w:rsid w:val="00A805AE"/>
    <w:rsid w:val="00A9164A"/>
    <w:rsid w:val="00A9398A"/>
    <w:rsid w:val="00A93C24"/>
    <w:rsid w:val="00A97CDF"/>
    <w:rsid w:val="00A97D78"/>
    <w:rsid w:val="00AA4D3B"/>
    <w:rsid w:val="00AB5A2E"/>
    <w:rsid w:val="00AC627B"/>
    <w:rsid w:val="00AE435D"/>
    <w:rsid w:val="00AE71C2"/>
    <w:rsid w:val="00AF6914"/>
    <w:rsid w:val="00B03B5E"/>
    <w:rsid w:val="00B04020"/>
    <w:rsid w:val="00B10392"/>
    <w:rsid w:val="00B12D28"/>
    <w:rsid w:val="00B2462B"/>
    <w:rsid w:val="00B330DC"/>
    <w:rsid w:val="00B34143"/>
    <w:rsid w:val="00B542F0"/>
    <w:rsid w:val="00B67892"/>
    <w:rsid w:val="00B76283"/>
    <w:rsid w:val="00B80928"/>
    <w:rsid w:val="00B82218"/>
    <w:rsid w:val="00B87DBB"/>
    <w:rsid w:val="00B923C7"/>
    <w:rsid w:val="00B94030"/>
    <w:rsid w:val="00B97A11"/>
    <w:rsid w:val="00BA0F69"/>
    <w:rsid w:val="00BA6B94"/>
    <w:rsid w:val="00BB4C1B"/>
    <w:rsid w:val="00BC3DF0"/>
    <w:rsid w:val="00BD5944"/>
    <w:rsid w:val="00BD5CBC"/>
    <w:rsid w:val="00BE2A30"/>
    <w:rsid w:val="00BE31BF"/>
    <w:rsid w:val="00BF3E54"/>
    <w:rsid w:val="00BF50CF"/>
    <w:rsid w:val="00C025CE"/>
    <w:rsid w:val="00C0499C"/>
    <w:rsid w:val="00C15FBB"/>
    <w:rsid w:val="00C32FE0"/>
    <w:rsid w:val="00C431C5"/>
    <w:rsid w:val="00C60265"/>
    <w:rsid w:val="00C73B8E"/>
    <w:rsid w:val="00C803BA"/>
    <w:rsid w:val="00C827AC"/>
    <w:rsid w:val="00C84B61"/>
    <w:rsid w:val="00C85A0F"/>
    <w:rsid w:val="00C92620"/>
    <w:rsid w:val="00CB2DDB"/>
    <w:rsid w:val="00CB7D36"/>
    <w:rsid w:val="00CD38E1"/>
    <w:rsid w:val="00CD42AE"/>
    <w:rsid w:val="00CE2BB4"/>
    <w:rsid w:val="00CE36A0"/>
    <w:rsid w:val="00CE4DD4"/>
    <w:rsid w:val="00CF064F"/>
    <w:rsid w:val="00CF098C"/>
    <w:rsid w:val="00CF14AF"/>
    <w:rsid w:val="00CF1A7A"/>
    <w:rsid w:val="00CF48BD"/>
    <w:rsid w:val="00D131D1"/>
    <w:rsid w:val="00D164B1"/>
    <w:rsid w:val="00D23704"/>
    <w:rsid w:val="00D251FB"/>
    <w:rsid w:val="00D303D8"/>
    <w:rsid w:val="00D35CF3"/>
    <w:rsid w:val="00D4020C"/>
    <w:rsid w:val="00D41DB9"/>
    <w:rsid w:val="00D45C73"/>
    <w:rsid w:val="00D468B2"/>
    <w:rsid w:val="00D47047"/>
    <w:rsid w:val="00D550B0"/>
    <w:rsid w:val="00D67AC6"/>
    <w:rsid w:val="00D73A27"/>
    <w:rsid w:val="00D84ED3"/>
    <w:rsid w:val="00D8631D"/>
    <w:rsid w:val="00D97A6F"/>
    <w:rsid w:val="00DA180A"/>
    <w:rsid w:val="00DA68CC"/>
    <w:rsid w:val="00DB5EB9"/>
    <w:rsid w:val="00DC1CA4"/>
    <w:rsid w:val="00DF16C5"/>
    <w:rsid w:val="00E12924"/>
    <w:rsid w:val="00E1346F"/>
    <w:rsid w:val="00E41275"/>
    <w:rsid w:val="00E452D1"/>
    <w:rsid w:val="00E46192"/>
    <w:rsid w:val="00E5400A"/>
    <w:rsid w:val="00E54B4F"/>
    <w:rsid w:val="00E75D6A"/>
    <w:rsid w:val="00E90715"/>
    <w:rsid w:val="00E955D4"/>
    <w:rsid w:val="00E95A53"/>
    <w:rsid w:val="00EA2635"/>
    <w:rsid w:val="00EB2E0B"/>
    <w:rsid w:val="00EB5869"/>
    <w:rsid w:val="00EC5631"/>
    <w:rsid w:val="00ED1B98"/>
    <w:rsid w:val="00EE11D2"/>
    <w:rsid w:val="00EE44C8"/>
    <w:rsid w:val="00EE7385"/>
    <w:rsid w:val="00EF1080"/>
    <w:rsid w:val="00EF54F7"/>
    <w:rsid w:val="00F02D8B"/>
    <w:rsid w:val="00F14D41"/>
    <w:rsid w:val="00F30382"/>
    <w:rsid w:val="00F3662E"/>
    <w:rsid w:val="00F37C6E"/>
    <w:rsid w:val="00F404AA"/>
    <w:rsid w:val="00F4383F"/>
    <w:rsid w:val="00F43B8E"/>
    <w:rsid w:val="00F457EE"/>
    <w:rsid w:val="00F50638"/>
    <w:rsid w:val="00F54EBE"/>
    <w:rsid w:val="00F70733"/>
    <w:rsid w:val="00F84205"/>
    <w:rsid w:val="00FA1760"/>
    <w:rsid w:val="00FA3708"/>
    <w:rsid w:val="00FC3E2C"/>
    <w:rsid w:val="00FC6EFC"/>
    <w:rsid w:val="00FD3811"/>
    <w:rsid w:val="00FD65CE"/>
    <w:rsid w:val="00FE31D2"/>
    <w:rsid w:val="00FF15E9"/>
    <w:rsid w:val="00FF58B6"/>
    <w:rsid w:val="00FF65F8"/>
    <w:rsid w:val="01544F66"/>
    <w:rsid w:val="01671078"/>
    <w:rsid w:val="0168E90F"/>
    <w:rsid w:val="018EC919"/>
    <w:rsid w:val="01EB429A"/>
    <w:rsid w:val="0216FFE9"/>
    <w:rsid w:val="024D3C5D"/>
    <w:rsid w:val="027BA699"/>
    <w:rsid w:val="02C0DDFD"/>
    <w:rsid w:val="035AF0FB"/>
    <w:rsid w:val="03ACB983"/>
    <w:rsid w:val="03CCE56C"/>
    <w:rsid w:val="04C95538"/>
    <w:rsid w:val="050E5622"/>
    <w:rsid w:val="058A1437"/>
    <w:rsid w:val="05D87B67"/>
    <w:rsid w:val="063C5A32"/>
    <w:rsid w:val="06F4ABFF"/>
    <w:rsid w:val="0721DC70"/>
    <w:rsid w:val="07506D89"/>
    <w:rsid w:val="075DD081"/>
    <w:rsid w:val="07D82A93"/>
    <w:rsid w:val="07DA5B67"/>
    <w:rsid w:val="086BD8ED"/>
    <w:rsid w:val="08738F81"/>
    <w:rsid w:val="09198B16"/>
    <w:rsid w:val="0929A879"/>
    <w:rsid w:val="09900ED2"/>
    <w:rsid w:val="099AD736"/>
    <w:rsid w:val="0A41DDED"/>
    <w:rsid w:val="0A4698B2"/>
    <w:rsid w:val="0A793E50"/>
    <w:rsid w:val="0AC9AB3B"/>
    <w:rsid w:val="0AE74D07"/>
    <w:rsid w:val="0AFAF4C2"/>
    <w:rsid w:val="0B456C37"/>
    <w:rsid w:val="0B47E26E"/>
    <w:rsid w:val="0B90FED6"/>
    <w:rsid w:val="0C724B3E"/>
    <w:rsid w:val="0CA63729"/>
    <w:rsid w:val="0CE14A72"/>
    <w:rsid w:val="0D1EB34C"/>
    <w:rsid w:val="0D4AF815"/>
    <w:rsid w:val="0DAA21A3"/>
    <w:rsid w:val="0DF62DAC"/>
    <w:rsid w:val="0E1646E7"/>
    <w:rsid w:val="0E281D97"/>
    <w:rsid w:val="0E7F8330"/>
    <w:rsid w:val="0ED72136"/>
    <w:rsid w:val="0F931AF0"/>
    <w:rsid w:val="0F9FDEE5"/>
    <w:rsid w:val="0FC61ECC"/>
    <w:rsid w:val="100A18BA"/>
    <w:rsid w:val="103C1954"/>
    <w:rsid w:val="11153D89"/>
    <w:rsid w:val="11C6A7AE"/>
    <w:rsid w:val="11D83206"/>
    <w:rsid w:val="11F522CA"/>
    <w:rsid w:val="11F7953A"/>
    <w:rsid w:val="1241BBD6"/>
    <w:rsid w:val="127D1FFC"/>
    <w:rsid w:val="12C86465"/>
    <w:rsid w:val="130E620B"/>
    <w:rsid w:val="135AA864"/>
    <w:rsid w:val="13973D64"/>
    <w:rsid w:val="139ABEFF"/>
    <w:rsid w:val="13D0639E"/>
    <w:rsid w:val="13E8C033"/>
    <w:rsid w:val="142574F7"/>
    <w:rsid w:val="145844C8"/>
    <w:rsid w:val="145C7C8B"/>
    <w:rsid w:val="14AA326C"/>
    <w:rsid w:val="1507AE17"/>
    <w:rsid w:val="156C33FF"/>
    <w:rsid w:val="15849094"/>
    <w:rsid w:val="15C95F4A"/>
    <w:rsid w:val="16192D84"/>
    <w:rsid w:val="16A09E90"/>
    <w:rsid w:val="16C5CE63"/>
    <w:rsid w:val="16E490FB"/>
    <w:rsid w:val="170F261E"/>
    <w:rsid w:val="172060F5"/>
    <w:rsid w:val="1723B393"/>
    <w:rsid w:val="178B1D6A"/>
    <w:rsid w:val="17FF07A2"/>
    <w:rsid w:val="1836F0D8"/>
    <w:rsid w:val="18A3D4C1"/>
    <w:rsid w:val="18EFC535"/>
    <w:rsid w:val="18F77FEA"/>
    <w:rsid w:val="18F8F11F"/>
    <w:rsid w:val="19330B6F"/>
    <w:rsid w:val="19725DE7"/>
    <w:rsid w:val="197DA38F"/>
    <w:rsid w:val="198A6450"/>
    <w:rsid w:val="19C235D7"/>
    <w:rsid w:val="1A267CC5"/>
    <w:rsid w:val="1A329C28"/>
    <w:rsid w:val="1A6901B3"/>
    <w:rsid w:val="1A8B9596"/>
    <w:rsid w:val="1A902F19"/>
    <w:rsid w:val="1A99F58F"/>
    <w:rsid w:val="1A9CD06D"/>
    <w:rsid w:val="1ACF0929"/>
    <w:rsid w:val="1AEF119E"/>
    <w:rsid w:val="1B3E85C9"/>
    <w:rsid w:val="1B401E33"/>
    <w:rsid w:val="1C0089B5"/>
    <w:rsid w:val="1C7C5D70"/>
    <w:rsid w:val="1C8948A3"/>
    <w:rsid w:val="1D81B1DA"/>
    <w:rsid w:val="1DD4712F"/>
    <w:rsid w:val="1E264DB9"/>
    <w:rsid w:val="1E8DFDE7"/>
    <w:rsid w:val="1EEB6259"/>
    <w:rsid w:val="1F05713E"/>
    <w:rsid w:val="1F1A3803"/>
    <w:rsid w:val="1F2B72DA"/>
    <w:rsid w:val="1F340257"/>
    <w:rsid w:val="1FD8338C"/>
    <w:rsid w:val="2006D938"/>
    <w:rsid w:val="2014F5E1"/>
    <w:rsid w:val="20212AF8"/>
    <w:rsid w:val="2080CC75"/>
    <w:rsid w:val="20B60864"/>
    <w:rsid w:val="20B67885"/>
    <w:rsid w:val="20F00EB6"/>
    <w:rsid w:val="20F6C57D"/>
    <w:rsid w:val="21464862"/>
    <w:rsid w:val="215633C6"/>
    <w:rsid w:val="21B28CAA"/>
    <w:rsid w:val="21E11DC3"/>
    <w:rsid w:val="222614B2"/>
    <w:rsid w:val="224AB707"/>
    <w:rsid w:val="2298D001"/>
    <w:rsid w:val="22B2CFF0"/>
    <w:rsid w:val="22E218C3"/>
    <w:rsid w:val="236D764F"/>
    <w:rsid w:val="237814A9"/>
    <w:rsid w:val="23AFD19C"/>
    <w:rsid w:val="2413CDB7"/>
    <w:rsid w:val="24491854"/>
    <w:rsid w:val="248D3D10"/>
    <w:rsid w:val="24E0DF20"/>
    <w:rsid w:val="253AE309"/>
    <w:rsid w:val="2545248F"/>
    <w:rsid w:val="2570512A"/>
    <w:rsid w:val="258A4E4F"/>
    <w:rsid w:val="259F5264"/>
    <w:rsid w:val="25B512F2"/>
    <w:rsid w:val="260F2279"/>
    <w:rsid w:val="262B3A6F"/>
    <w:rsid w:val="2664141D"/>
    <w:rsid w:val="269B995A"/>
    <w:rsid w:val="269C30D2"/>
    <w:rsid w:val="26AB073B"/>
    <w:rsid w:val="26AD0702"/>
    <w:rsid w:val="26D9D2AE"/>
    <w:rsid w:val="27034AA6"/>
    <w:rsid w:val="271EFB73"/>
    <w:rsid w:val="276D39EF"/>
    <w:rsid w:val="27A50734"/>
    <w:rsid w:val="28111F55"/>
    <w:rsid w:val="2875D8BF"/>
    <w:rsid w:val="28B92CC3"/>
    <w:rsid w:val="28FB209B"/>
    <w:rsid w:val="290DD685"/>
    <w:rsid w:val="29428E33"/>
    <w:rsid w:val="2979DF47"/>
    <w:rsid w:val="2993C759"/>
    <w:rsid w:val="29ACEFB6"/>
    <w:rsid w:val="29ADBB7E"/>
    <w:rsid w:val="29D25CD2"/>
    <w:rsid w:val="2A73F277"/>
    <w:rsid w:val="2AB03292"/>
    <w:rsid w:val="2BF097F6"/>
    <w:rsid w:val="2C3D89C1"/>
    <w:rsid w:val="2C47666C"/>
    <w:rsid w:val="2C4EC498"/>
    <w:rsid w:val="2C7C5A74"/>
    <w:rsid w:val="2C8D6B7D"/>
    <w:rsid w:val="2C92C04A"/>
    <w:rsid w:val="2D22A17A"/>
    <w:rsid w:val="2D255D24"/>
    <w:rsid w:val="2D92D6C2"/>
    <w:rsid w:val="2DA244ED"/>
    <w:rsid w:val="2DE096C1"/>
    <w:rsid w:val="2DE336CD"/>
    <w:rsid w:val="2DEA94F9"/>
    <w:rsid w:val="2DF2827F"/>
    <w:rsid w:val="2E0FFFFF"/>
    <w:rsid w:val="2E1BC142"/>
    <w:rsid w:val="2EA760C7"/>
    <w:rsid w:val="2ED6ED48"/>
    <w:rsid w:val="2EEA7545"/>
    <w:rsid w:val="2F4D7EDF"/>
    <w:rsid w:val="2F6E6CCF"/>
    <w:rsid w:val="2F9B4C58"/>
    <w:rsid w:val="2FE316E1"/>
    <w:rsid w:val="300308DD"/>
    <w:rsid w:val="3110FAE4"/>
    <w:rsid w:val="3118E86A"/>
    <w:rsid w:val="312A2341"/>
    <w:rsid w:val="31F73351"/>
    <w:rsid w:val="328DDC89"/>
    <w:rsid w:val="32B4B8CB"/>
    <w:rsid w:val="339D93FD"/>
    <w:rsid w:val="33F15EFE"/>
    <w:rsid w:val="342E6C92"/>
    <w:rsid w:val="34300BA3"/>
    <w:rsid w:val="34472D25"/>
    <w:rsid w:val="34C3334E"/>
    <w:rsid w:val="34D7D35A"/>
    <w:rsid w:val="34E55F36"/>
    <w:rsid w:val="3510C2BF"/>
    <w:rsid w:val="35A063BA"/>
    <w:rsid w:val="35AA377E"/>
    <w:rsid w:val="35B09D4D"/>
    <w:rsid w:val="36165CC2"/>
    <w:rsid w:val="3655FBB8"/>
    <w:rsid w:val="36731629"/>
    <w:rsid w:val="36DD270F"/>
    <w:rsid w:val="376714ED"/>
    <w:rsid w:val="379964C5"/>
    <w:rsid w:val="37C12989"/>
    <w:rsid w:val="37F88AAF"/>
    <w:rsid w:val="37FCDFEB"/>
    <w:rsid w:val="380EE68A"/>
    <w:rsid w:val="38118DDB"/>
    <w:rsid w:val="385AD6FE"/>
    <w:rsid w:val="38807A8A"/>
    <w:rsid w:val="388786E3"/>
    <w:rsid w:val="38A5B921"/>
    <w:rsid w:val="39962178"/>
    <w:rsid w:val="39AA2D49"/>
    <w:rsid w:val="39B3985F"/>
    <w:rsid w:val="39C4B291"/>
    <w:rsid w:val="3A1C4AEB"/>
    <w:rsid w:val="3AA268DB"/>
    <w:rsid w:val="3ACE8F50"/>
    <w:rsid w:val="3B38B4FD"/>
    <w:rsid w:val="3B6E0C0E"/>
    <w:rsid w:val="3BAF899B"/>
    <w:rsid w:val="3BD99AA0"/>
    <w:rsid w:val="3C3DF4FC"/>
    <w:rsid w:val="3C50D2AD"/>
    <w:rsid w:val="3C5B6635"/>
    <w:rsid w:val="3C8D54D7"/>
    <w:rsid w:val="3CACDF28"/>
    <w:rsid w:val="3CCD2AC2"/>
    <w:rsid w:val="3CF0FFCC"/>
    <w:rsid w:val="3CFE94B6"/>
    <w:rsid w:val="3D28B95D"/>
    <w:rsid w:val="3D2E4821"/>
    <w:rsid w:val="3DC7DE21"/>
    <w:rsid w:val="3DD365CB"/>
    <w:rsid w:val="3DFB3216"/>
    <w:rsid w:val="3DFF260E"/>
    <w:rsid w:val="3E158DFF"/>
    <w:rsid w:val="3E299ECF"/>
    <w:rsid w:val="3E325A08"/>
    <w:rsid w:val="3E7D5C46"/>
    <w:rsid w:val="3E86B60C"/>
    <w:rsid w:val="3EC40A80"/>
    <w:rsid w:val="3EEFBC0E"/>
    <w:rsid w:val="3F1A95F4"/>
    <w:rsid w:val="3F3E5CEC"/>
    <w:rsid w:val="3F8B4E4D"/>
    <w:rsid w:val="3F92C627"/>
    <w:rsid w:val="3F9E8CDC"/>
    <w:rsid w:val="401A2EC3"/>
    <w:rsid w:val="412706F0"/>
    <w:rsid w:val="414DF05D"/>
    <w:rsid w:val="417863C0"/>
    <w:rsid w:val="41A3C231"/>
    <w:rsid w:val="41F2A490"/>
    <w:rsid w:val="4286185E"/>
    <w:rsid w:val="42C078D8"/>
    <w:rsid w:val="42C6F94A"/>
    <w:rsid w:val="42EF2BBD"/>
    <w:rsid w:val="42F80CCF"/>
    <w:rsid w:val="434D8DC6"/>
    <w:rsid w:val="436ECDAE"/>
    <w:rsid w:val="439D89A5"/>
    <w:rsid w:val="439E53D5"/>
    <w:rsid w:val="440759D7"/>
    <w:rsid w:val="443D3475"/>
    <w:rsid w:val="4493E0A8"/>
    <w:rsid w:val="44B280B4"/>
    <w:rsid w:val="4541478C"/>
    <w:rsid w:val="454999A0"/>
    <w:rsid w:val="45528263"/>
    <w:rsid w:val="457860E3"/>
    <w:rsid w:val="4609A07B"/>
    <w:rsid w:val="4613B82E"/>
    <w:rsid w:val="4625034B"/>
    <w:rsid w:val="465C0866"/>
    <w:rsid w:val="4726C7EA"/>
    <w:rsid w:val="473831B6"/>
    <w:rsid w:val="476AEA39"/>
    <w:rsid w:val="4785255B"/>
    <w:rsid w:val="479E4DB8"/>
    <w:rsid w:val="47EEF58D"/>
    <w:rsid w:val="481E23E3"/>
    <w:rsid w:val="489EA60D"/>
    <w:rsid w:val="48A7A0A5"/>
    <w:rsid w:val="48E5397C"/>
    <w:rsid w:val="4921F2BD"/>
    <w:rsid w:val="4922D82F"/>
    <w:rsid w:val="4928C1AA"/>
    <w:rsid w:val="4956137C"/>
    <w:rsid w:val="4961E604"/>
    <w:rsid w:val="49BFEAFF"/>
    <w:rsid w:val="4A437106"/>
    <w:rsid w:val="4B713B46"/>
    <w:rsid w:val="4C59BE53"/>
    <w:rsid w:val="4C6EBDEC"/>
    <w:rsid w:val="4CC266B0"/>
    <w:rsid w:val="4CD9D997"/>
    <w:rsid w:val="4CE6E4F9"/>
    <w:rsid w:val="4D1039F8"/>
    <w:rsid w:val="4D3AF8E4"/>
    <w:rsid w:val="4D4E4896"/>
    <w:rsid w:val="4D6A64D5"/>
    <w:rsid w:val="4D943A25"/>
    <w:rsid w:val="4D98C702"/>
    <w:rsid w:val="4DA71E28"/>
    <w:rsid w:val="4E9C395E"/>
    <w:rsid w:val="4EBD65ED"/>
    <w:rsid w:val="4ECB0648"/>
    <w:rsid w:val="4EE829D2"/>
    <w:rsid w:val="4F7161B5"/>
    <w:rsid w:val="4F72CB50"/>
    <w:rsid w:val="4F8D5C62"/>
    <w:rsid w:val="4F95C149"/>
    <w:rsid w:val="4FDC1F7D"/>
    <w:rsid w:val="4FE4D651"/>
    <w:rsid w:val="4FFA0772"/>
    <w:rsid w:val="505D1DF1"/>
    <w:rsid w:val="509A92C1"/>
    <w:rsid w:val="50C6EED0"/>
    <w:rsid w:val="516DD749"/>
    <w:rsid w:val="51D30E58"/>
    <w:rsid w:val="526B3BDC"/>
    <w:rsid w:val="5332AA18"/>
    <w:rsid w:val="5394BEB3"/>
    <w:rsid w:val="53A461BD"/>
    <w:rsid w:val="53CCD5CC"/>
    <w:rsid w:val="53D5D506"/>
    <w:rsid w:val="544F6151"/>
    <w:rsid w:val="549073F6"/>
    <w:rsid w:val="549A4E40"/>
    <w:rsid w:val="54B45038"/>
    <w:rsid w:val="54DDFE27"/>
    <w:rsid w:val="55AFFBCE"/>
    <w:rsid w:val="55B09CF3"/>
    <w:rsid w:val="56A0A463"/>
    <w:rsid w:val="56B5FF64"/>
    <w:rsid w:val="5729E194"/>
    <w:rsid w:val="57477526"/>
    <w:rsid w:val="57FC8EA4"/>
    <w:rsid w:val="58A046EF"/>
    <w:rsid w:val="58CAB4A2"/>
    <w:rsid w:val="5915C8B4"/>
    <w:rsid w:val="5978AE32"/>
    <w:rsid w:val="599091EE"/>
    <w:rsid w:val="59A811BF"/>
    <w:rsid w:val="59DA4271"/>
    <w:rsid w:val="5A0284D8"/>
    <w:rsid w:val="5A1573A4"/>
    <w:rsid w:val="5A22EEF3"/>
    <w:rsid w:val="5A2F3D16"/>
    <w:rsid w:val="5ACA186E"/>
    <w:rsid w:val="5AFF57D7"/>
    <w:rsid w:val="5B26A8DC"/>
    <w:rsid w:val="5BEEEC98"/>
    <w:rsid w:val="5C1E46B2"/>
    <w:rsid w:val="5C3A2927"/>
    <w:rsid w:val="5C3AEB8E"/>
    <w:rsid w:val="5CA27B53"/>
    <w:rsid w:val="5CCFFFC7"/>
    <w:rsid w:val="5CE575C8"/>
    <w:rsid w:val="5D627D3B"/>
    <w:rsid w:val="5D6C7C3C"/>
    <w:rsid w:val="5D73B812"/>
    <w:rsid w:val="5DB5C4B1"/>
    <w:rsid w:val="5DDF20BE"/>
    <w:rsid w:val="5E3CB311"/>
    <w:rsid w:val="5E6BD028"/>
    <w:rsid w:val="5EE5253F"/>
    <w:rsid w:val="5EFB2655"/>
    <w:rsid w:val="5F2BB0A7"/>
    <w:rsid w:val="5F7490E6"/>
    <w:rsid w:val="5F8C2BF6"/>
    <w:rsid w:val="5FCE1FCE"/>
    <w:rsid w:val="5FDD75DB"/>
    <w:rsid w:val="6043EC1E"/>
    <w:rsid w:val="607ACF64"/>
    <w:rsid w:val="60C485B0"/>
    <w:rsid w:val="611FBED9"/>
    <w:rsid w:val="61513C15"/>
    <w:rsid w:val="6179463C"/>
    <w:rsid w:val="6188D858"/>
    <w:rsid w:val="61933DAC"/>
    <w:rsid w:val="61B18F60"/>
    <w:rsid w:val="622AC683"/>
    <w:rsid w:val="62AB7023"/>
    <w:rsid w:val="630CE4CF"/>
    <w:rsid w:val="63127819"/>
    <w:rsid w:val="645F9D19"/>
    <w:rsid w:val="64F43A09"/>
    <w:rsid w:val="64F73B78"/>
    <w:rsid w:val="65A630FD"/>
    <w:rsid w:val="65C31A6C"/>
    <w:rsid w:val="65D82E65"/>
    <w:rsid w:val="6649D76D"/>
    <w:rsid w:val="667E756B"/>
    <w:rsid w:val="669984F8"/>
    <w:rsid w:val="66C1D8C3"/>
    <w:rsid w:val="66F03724"/>
    <w:rsid w:val="6700DAD8"/>
    <w:rsid w:val="674C617E"/>
    <w:rsid w:val="6781DF9E"/>
    <w:rsid w:val="67E5BF1D"/>
    <w:rsid w:val="67F3D5A4"/>
    <w:rsid w:val="6856B8B8"/>
    <w:rsid w:val="688B00CE"/>
    <w:rsid w:val="68DBD5BF"/>
    <w:rsid w:val="691AB1A7"/>
    <w:rsid w:val="69855A05"/>
    <w:rsid w:val="69FE881A"/>
    <w:rsid w:val="6A99CD39"/>
    <w:rsid w:val="6AB8E8E8"/>
    <w:rsid w:val="6ADEC428"/>
    <w:rsid w:val="6ADFDE99"/>
    <w:rsid w:val="6B10D275"/>
    <w:rsid w:val="6B5240B6"/>
    <w:rsid w:val="6BB682D0"/>
    <w:rsid w:val="6BD61F9A"/>
    <w:rsid w:val="6C2D7879"/>
    <w:rsid w:val="6C9D1199"/>
    <w:rsid w:val="6CB4BDB7"/>
    <w:rsid w:val="6CC24256"/>
    <w:rsid w:val="6DEF8F07"/>
    <w:rsid w:val="6DF54488"/>
    <w:rsid w:val="6E067F5F"/>
    <w:rsid w:val="6E89E178"/>
    <w:rsid w:val="6EA26B67"/>
    <w:rsid w:val="6EE119F5"/>
    <w:rsid w:val="6EE47FE4"/>
    <w:rsid w:val="6F298A7A"/>
    <w:rsid w:val="6F2B09F4"/>
    <w:rsid w:val="6F77EC8C"/>
    <w:rsid w:val="6FA31B88"/>
    <w:rsid w:val="6FBD8157"/>
    <w:rsid w:val="705589E1"/>
    <w:rsid w:val="710D257A"/>
    <w:rsid w:val="7114F143"/>
    <w:rsid w:val="711BBDAC"/>
    <w:rsid w:val="714F201D"/>
    <w:rsid w:val="71545EA0"/>
    <w:rsid w:val="7198E712"/>
    <w:rsid w:val="720A8B98"/>
    <w:rsid w:val="721D1C4F"/>
    <w:rsid w:val="722DCECD"/>
    <w:rsid w:val="7296EF74"/>
    <w:rsid w:val="72F1F569"/>
    <w:rsid w:val="73208682"/>
    <w:rsid w:val="73B337ED"/>
    <w:rsid w:val="73EBEB7B"/>
    <w:rsid w:val="743CCC49"/>
    <w:rsid w:val="74D055D2"/>
    <w:rsid w:val="75E4F869"/>
    <w:rsid w:val="75E72E10"/>
    <w:rsid w:val="75F934AF"/>
    <w:rsid w:val="76848D4E"/>
    <w:rsid w:val="771F834B"/>
    <w:rsid w:val="77E22556"/>
    <w:rsid w:val="77E289FD"/>
    <w:rsid w:val="77EC6FC1"/>
    <w:rsid w:val="78271C45"/>
    <w:rsid w:val="78561B36"/>
    <w:rsid w:val="78C70492"/>
    <w:rsid w:val="78FA60CD"/>
    <w:rsid w:val="791C992B"/>
    <w:rsid w:val="791CD776"/>
    <w:rsid w:val="79931364"/>
    <w:rsid w:val="799D6AEE"/>
    <w:rsid w:val="79AAAB69"/>
    <w:rsid w:val="7A05D123"/>
    <w:rsid w:val="7A249864"/>
    <w:rsid w:val="7A3CC10C"/>
    <w:rsid w:val="7A998B2D"/>
    <w:rsid w:val="7AB2BA14"/>
    <w:rsid w:val="7ADE821C"/>
    <w:rsid w:val="7BE1EC4F"/>
    <w:rsid w:val="7C5439ED"/>
    <w:rsid w:val="7C5AFA02"/>
    <w:rsid w:val="7C79265A"/>
    <w:rsid w:val="7CBC542D"/>
    <w:rsid w:val="7CFA27C6"/>
    <w:rsid w:val="7DAB0206"/>
    <w:rsid w:val="7DB748EE"/>
    <w:rsid w:val="7E42C956"/>
    <w:rsid w:val="7EC2C3D3"/>
    <w:rsid w:val="7F768083"/>
    <w:rsid w:val="7FEB0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0E2D"/>
  <w15:chartTrackingRefBased/>
  <w15:docId w15:val="{9130E6D7-84C0-4024-9212-6883FB2B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next w:val="PlainTable5"/>
    <w:uiPriority w:val="45"/>
    <w:rsid w:val="00092628"/>
    <w:pPr>
      <w:spacing w:after="0" w:line="240" w:lineRule="auto"/>
    </w:p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09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628"/>
  </w:style>
  <w:style w:type="table" w:styleId="PlainTable5">
    <w:name w:val="Plain Table 5"/>
    <w:basedOn w:val="TableNormal"/>
    <w:uiPriority w:val="45"/>
    <w:rsid w:val="000926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73D77"/>
    <w:pPr>
      <w:ind w:left="720"/>
      <w:contextualSpacing/>
    </w:pPr>
  </w:style>
  <w:style w:type="character" w:styleId="Strong">
    <w:name w:val="Strong"/>
    <w:basedOn w:val="DefaultParagraphFont"/>
    <w:uiPriority w:val="22"/>
    <w:qFormat/>
    <w:rsid w:val="00212B4C"/>
    <w:rPr>
      <w:b/>
      <w:bCs/>
    </w:rPr>
  </w:style>
  <w:style w:type="character" w:customStyle="1" w:styleId="Heading1Char">
    <w:name w:val="Heading 1 Char"/>
    <w:basedOn w:val="DefaultParagraphFont"/>
    <w:link w:val="Heading1"/>
    <w:uiPriority w:val="9"/>
    <w:rsid w:val="00CE4D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2A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96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D2"/>
    <w:rPr>
      <w:sz w:val="20"/>
      <w:szCs w:val="20"/>
    </w:rPr>
  </w:style>
  <w:style w:type="character" w:styleId="FootnoteReference">
    <w:name w:val="footnote reference"/>
    <w:basedOn w:val="DefaultParagraphFont"/>
    <w:uiPriority w:val="99"/>
    <w:semiHidden/>
    <w:unhideWhenUsed/>
    <w:rsid w:val="000963D2"/>
    <w:rPr>
      <w:vertAlign w:val="superscript"/>
    </w:rPr>
  </w:style>
  <w:style w:type="paragraph" w:styleId="EndnoteText">
    <w:name w:val="endnote text"/>
    <w:basedOn w:val="Normal"/>
    <w:link w:val="EndnoteTextChar"/>
    <w:uiPriority w:val="99"/>
    <w:semiHidden/>
    <w:unhideWhenUsed/>
    <w:rsid w:val="008763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329"/>
    <w:rPr>
      <w:sz w:val="20"/>
      <w:szCs w:val="20"/>
    </w:rPr>
  </w:style>
  <w:style w:type="character" w:styleId="EndnoteReference">
    <w:name w:val="endnote reference"/>
    <w:basedOn w:val="DefaultParagraphFont"/>
    <w:uiPriority w:val="99"/>
    <w:semiHidden/>
    <w:unhideWhenUsed/>
    <w:rsid w:val="00876329"/>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PlaceholderText">
    <w:name w:val="Placeholder Text"/>
    <w:basedOn w:val="DefaultParagraphFont"/>
    <w:uiPriority w:val="99"/>
    <w:semiHidden/>
    <w:rsid w:val="00C431C5"/>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D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2059"/>
  </w:style>
  <w:style w:type="character" w:customStyle="1" w:styleId="eop">
    <w:name w:val="eop"/>
    <w:basedOn w:val="DefaultParagraphFont"/>
    <w:rsid w:val="001D2059"/>
  </w:style>
  <w:style w:type="character" w:customStyle="1" w:styleId="pagebreaktextspan">
    <w:name w:val="pagebreaktextspan"/>
    <w:basedOn w:val="DefaultParagraphFont"/>
    <w:rsid w:val="001D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7340">
      <w:bodyDiv w:val="1"/>
      <w:marLeft w:val="0"/>
      <w:marRight w:val="0"/>
      <w:marTop w:val="0"/>
      <w:marBottom w:val="0"/>
      <w:divBdr>
        <w:top w:val="none" w:sz="0" w:space="0" w:color="auto"/>
        <w:left w:val="none" w:sz="0" w:space="0" w:color="auto"/>
        <w:bottom w:val="none" w:sz="0" w:space="0" w:color="auto"/>
        <w:right w:val="none" w:sz="0" w:space="0" w:color="auto"/>
      </w:divBdr>
      <w:divsChild>
        <w:div w:id="944071761">
          <w:marLeft w:val="0"/>
          <w:marRight w:val="0"/>
          <w:marTop w:val="0"/>
          <w:marBottom w:val="0"/>
          <w:divBdr>
            <w:top w:val="none" w:sz="0" w:space="0" w:color="auto"/>
            <w:left w:val="none" w:sz="0" w:space="0" w:color="auto"/>
            <w:bottom w:val="none" w:sz="0" w:space="0" w:color="auto"/>
            <w:right w:val="none" w:sz="0" w:space="0" w:color="auto"/>
          </w:divBdr>
        </w:div>
        <w:div w:id="671297234">
          <w:marLeft w:val="0"/>
          <w:marRight w:val="0"/>
          <w:marTop w:val="0"/>
          <w:marBottom w:val="0"/>
          <w:divBdr>
            <w:top w:val="none" w:sz="0" w:space="0" w:color="auto"/>
            <w:left w:val="none" w:sz="0" w:space="0" w:color="auto"/>
            <w:bottom w:val="none" w:sz="0" w:space="0" w:color="auto"/>
            <w:right w:val="none" w:sz="0" w:space="0" w:color="auto"/>
          </w:divBdr>
        </w:div>
        <w:div w:id="761221217">
          <w:marLeft w:val="0"/>
          <w:marRight w:val="0"/>
          <w:marTop w:val="0"/>
          <w:marBottom w:val="0"/>
          <w:divBdr>
            <w:top w:val="none" w:sz="0" w:space="0" w:color="auto"/>
            <w:left w:val="none" w:sz="0" w:space="0" w:color="auto"/>
            <w:bottom w:val="none" w:sz="0" w:space="0" w:color="auto"/>
            <w:right w:val="none" w:sz="0" w:space="0" w:color="auto"/>
          </w:divBdr>
          <w:divsChild>
            <w:div w:id="1208102856">
              <w:marLeft w:val="0"/>
              <w:marRight w:val="0"/>
              <w:marTop w:val="0"/>
              <w:marBottom w:val="0"/>
              <w:divBdr>
                <w:top w:val="none" w:sz="0" w:space="0" w:color="auto"/>
                <w:left w:val="none" w:sz="0" w:space="0" w:color="auto"/>
                <w:bottom w:val="none" w:sz="0" w:space="0" w:color="auto"/>
                <w:right w:val="none" w:sz="0" w:space="0" w:color="auto"/>
              </w:divBdr>
            </w:div>
            <w:div w:id="882594457">
              <w:marLeft w:val="0"/>
              <w:marRight w:val="0"/>
              <w:marTop w:val="0"/>
              <w:marBottom w:val="0"/>
              <w:divBdr>
                <w:top w:val="none" w:sz="0" w:space="0" w:color="auto"/>
                <w:left w:val="none" w:sz="0" w:space="0" w:color="auto"/>
                <w:bottom w:val="none" w:sz="0" w:space="0" w:color="auto"/>
                <w:right w:val="none" w:sz="0" w:space="0" w:color="auto"/>
              </w:divBdr>
            </w:div>
            <w:div w:id="1431660664">
              <w:marLeft w:val="0"/>
              <w:marRight w:val="0"/>
              <w:marTop w:val="0"/>
              <w:marBottom w:val="0"/>
              <w:divBdr>
                <w:top w:val="none" w:sz="0" w:space="0" w:color="auto"/>
                <w:left w:val="none" w:sz="0" w:space="0" w:color="auto"/>
                <w:bottom w:val="none" w:sz="0" w:space="0" w:color="auto"/>
                <w:right w:val="none" w:sz="0" w:space="0" w:color="auto"/>
              </w:divBdr>
            </w:div>
            <w:div w:id="1840341889">
              <w:marLeft w:val="0"/>
              <w:marRight w:val="0"/>
              <w:marTop w:val="0"/>
              <w:marBottom w:val="0"/>
              <w:divBdr>
                <w:top w:val="none" w:sz="0" w:space="0" w:color="auto"/>
                <w:left w:val="none" w:sz="0" w:space="0" w:color="auto"/>
                <w:bottom w:val="none" w:sz="0" w:space="0" w:color="auto"/>
                <w:right w:val="none" w:sz="0" w:space="0" w:color="auto"/>
              </w:divBdr>
            </w:div>
            <w:div w:id="1276135033">
              <w:marLeft w:val="0"/>
              <w:marRight w:val="0"/>
              <w:marTop w:val="0"/>
              <w:marBottom w:val="0"/>
              <w:divBdr>
                <w:top w:val="none" w:sz="0" w:space="0" w:color="auto"/>
                <w:left w:val="none" w:sz="0" w:space="0" w:color="auto"/>
                <w:bottom w:val="none" w:sz="0" w:space="0" w:color="auto"/>
                <w:right w:val="none" w:sz="0" w:space="0" w:color="auto"/>
              </w:divBdr>
            </w:div>
          </w:divsChild>
        </w:div>
        <w:div w:id="1465856454">
          <w:marLeft w:val="0"/>
          <w:marRight w:val="0"/>
          <w:marTop w:val="0"/>
          <w:marBottom w:val="0"/>
          <w:divBdr>
            <w:top w:val="none" w:sz="0" w:space="0" w:color="auto"/>
            <w:left w:val="none" w:sz="0" w:space="0" w:color="auto"/>
            <w:bottom w:val="none" w:sz="0" w:space="0" w:color="auto"/>
            <w:right w:val="none" w:sz="0" w:space="0" w:color="auto"/>
          </w:divBdr>
          <w:divsChild>
            <w:div w:id="686911791">
              <w:marLeft w:val="0"/>
              <w:marRight w:val="0"/>
              <w:marTop w:val="0"/>
              <w:marBottom w:val="0"/>
              <w:divBdr>
                <w:top w:val="none" w:sz="0" w:space="0" w:color="auto"/>
                <w:left w:val="none" w:sz="0" w:space="0" w:color="auto"/>
                <w:bottom w:val="none" w:sz="0" w:space="0" w:color="auto"/>
                <w:right w:val="none" w:sz="0" w:space="0" w:color="auto"/>
              </w:divBdr>
            </w:div>
            <w:div w:id="415857943">
              <w:marLeft w:val="0"/>
              <w:marRight w:val="0"/>
              <w:marTop w:val="0"/>
              <w:marBottom w:val="0"/>
              <w:divBdr>
                <w:top w:val="none" w:sz="0" w:space="0" w:color="auto"/>
                <w:left w:val="none" w:sz="0" w:space="0" w:color="auto"/>
                <w:bottom w:val="none" w:sz="0" w:space="0" w:color="auto"/>
                <w:right w:val="none" w:sz="0" w:space="0" w:color="auto"/>
              </w:divBdr>
            </w:div>
            <w:div w:id="2013025147">
              <w:marLeft w:val="0"/>
              <w:marRight w:val="0"/>
              <w:marTop w:val="0"/>
              <w:marBottom w:val="0"/>
              <w:divBdr>
                <w:top w:val="none" w:sz="0" w:space="0" w:color="auto"/>
                <w:left w:val="none" w:sz="0" w:space="0" w:color="auto"/>
                <w:bottom w:val="none" w:sz="0" w:space="0" w:color="auto"/>
                <w:right w:val="none" w:sz="0" w:space="0" w:color="auto"/>
              </w:divBdr>
            </w:div>
            <w:div w:id="1928145900">
              <w:marLeft w:val="0"/>
              <w:marRight w:val="0"/>
              <w:marTop w:val="0"/>
              <w:marBottom w:val="0"/>
              <w:divBdr>
                <w:top w:val="none" w:sz="0" w:space="0" w:color="auto"/>
                <w:left w:val="none" w:sz="0" w:space="0" w:color="auto"/>
                <w:bottom w:val="none" w:sz="0" w:space="0" w:color="auto"/>
                <w:right w:val="none" w:sz="0" w:space="0" w:color="auto"/>
              </w:divBdr>
            </w:div>
            <w:div w:id="2146005169">
              <w:marLeft w:val="0"/>
              <w:marRight w:val="0"/>
              <w:marTop w:val="0"/>
              <w:marBottom w:val="0"/>
              <w:divBdr>
                <w:top w:val="none" w:sz="0" w:space="0" w:color="auto"/>
                <w:left w:val="none" w:sz="0" w:space="0" w:color="auto"/>
                <w:bottom w:val="none" w:sz="0" w:space="0" w:color="auto"/>
                <w:right w:val="none" w:sz="0" w:space="0" w:color="auto"/>
              </w:divBdr>
            </w:div>
          </w:divsChild>
        </w:div>
        <w:div w:id="341905442">
          <w:marLeft w:val="0"/>
          <w:marRight w:val="0"/>
          <w:marTop w:val="0"/>
          <w:marBottom w:val="0"/>
          <w:divBdr>
            <w:top w:val="none" w:sz="0" w:space="0" w:color="auto"/>
            <w:left w:val="none" w:sz="0" w:space="0" w:color="auto"/>
            <w:bottom w:val="none" w:sz="0" w:space="0" w:color="auto"/>
            <w:right w:val="none" w:sz="0" w:space="0" w:color="auto"/>
          </w:divBdr>
        </w:div>
        <w:div w:id="2136100992">
          <w:marLeft w:val="0"/>
          <w:marRight w:val="0"/>
          <w:marTop w:val="0"/>
          <w:marBottom w:val="0"/>
          <w:divBdr>
            <w:top w:val="none" w:sz="0" w:space="0" w:color="auto"/>
            <w:left w:val="none" w:sz="0" w:space="0" w:color="auto"/>
            <w:bottom w:val="none" w:sz="0" w:space="0" w:color="auto"/>
            <w:right w:val="none" w:sz="0" w:space="0" w:color="auto"/>
          </w:divBdr>
        </w:div>
        <w:div w:id="1427657005">
          <w:marLeft w:val="0"/>
          <w:marRight w:val="0"/>
          <w:marTop w:val="0"/>
          <w:marBottom w:val="0"/>
          <w:divBdr>
            <w:top w:val="none" w:sz="0" w:space="0" w:color="auto"/>
            <w:left w:val="none" w:sz="0" w:space="0" w:color="auto"/>
            <w:bottom w:val="none" w:sz="0" w:space="0" w:color="auto"/>
            <w:right w:val="none" w:sz="0" w:space="0" w:color="auto"/>
          </w:divBdr>
        </w:div>
        <w:div w:id="1023870225">
          <w:marLeft w:val="0"/>
          <w:marRight w:val="0"/>
          <w:marTop w:val="0"/>
          <w:marBottom w:val="0"/>
          <w:divBdr>
            <w:top w:val="none" w:sz="0" w:space="0" w:color="auto"/>
            <w:left w:val="none" w:sz="0" w:space="0" w:color="auto"/>
            <w:bottom w:val="none" w:sz="0" w:space="0" w:color="auto"/>
            <w:right w:val="none" w:sz="0" w:space="0" w:color="auto"/>
          </w:divBdr>
        </w:div>
        <w:div w:id="1479541549">
          <w:marLeft w:val="0"/>
          <w:marRight w:val="0"/>
          <w:marTop w:val="0"/>
          <w:marBottom w:val="0"/>
          <w:divBdr>
            <w:top w:val="none" w:sz="0" w:space="0" w:color="auto"/>
            <w:left w:val="none" w:sz="0" w:space="0" w:color="auto"/>
            <w:bottom w:val="none" w:sz="0" w:space="0" w:color="auto"/>
            <w:right w:val="none" w:sz="0" w:space="0" w:color="auto"/>
          </w:divBdr>
        </w:div>
        <w:div w:id="1503473727">
          <w:marLeft w:val="0"/>
          <w:marRight w:val="0"/>
          <w:marTop w:val="0"/>
          <w:marBottom w:val="0"/>
          <w:divBdr>
            <w:top w:val="none" w:sz="0" w:space="0" w:color="auto"/>
            <w:left w:val="none" w:sz="0" w:space="0" w:color="auto"/>
            <w:bottom w:val="none" w:sz="0" w:space="0" w:color="auto"/>
            <w:right w:val="none" w:sz="0" w:space="0" w:color="auto"/>
          </w:divBdr>
        </w:div>
        <w:div w:id="1771584894">
          <w:marLeft w:val="0"/>
          <w:marRight w:val="0"/>
          <w:marTop w:val="0"/>
          <w:marBottom w:val="0"/>
          <w:divBdr>
            <w:top w:val="none" w:sz="0" w:space="0" w:color="auto"/>
            <w:left w:val="none" w:sz="0" w:space="0" w:color="auto"/>
            <w:bottom w:val="none" w:sz="0" w:space="0" w:color="auto"/>
            <w:right w:val="none" w:sz="0" w:space="0" w:color="auto"/>
          </w:divBdr>
        </w:div>
        <w:div w:id="359361940">
          <w:marLeft w:val="0"/>
          <w:marRight w:val="0"/>
          <w:marTop w:val="0"/>
          <w:marBottom w:val="0"/>
          <w:divBdr>
            <w:top w:val="none" w:sz="0" w:space="0" w:color="auto"/>
            <w:left w:val="none" w:sz="0" w:space="0" w:color="auto"/>
            <w:bottom w:val="none" w:sz="0" w:space="0" w:color="auto"/>
            <w:right w:val="none" w:sz="0" w:space="0" w:color="auto"/>
          </w:divBdr>
        </w:div>
        <w:div w:id="33510725">
          <w:marLeft w:val="0"/>
          <w:marRight w:val="0"/>
          <w:marTop w:val="0"/>
          <w:marBottom w:val="0"/>
          <w:divBdr>
            <w:top w:val="none" w:sz="0" w:space="0" w:color="auto"/>
            <w:left w:val="none" w:sz="0" w:space="0" w:color="auto"/>
            <w:bottom w:val="none" w:sz="0" w:space="0" w:color="auto"/>
            <w:right w:val="none" w:sz="0" w:space="0" w:color="auto"/>
          </w:divBdr>
        </w:div>
        <w:div w:id="1235624507">
          <w:marLeft w:val="0"/>
          <w:marRight w:val="0"/>
          <w:marTop w:val="0"/>
          <w:marBottom w:val="0"/>
          <w:divBdr>
            <w:top w:val="none" w:sz="0" w:space="0" w:color="auto"/>
            <w:left w:val="none" w:sz="0" w:space="0" w:color="auto"/>
            <w:bottom w:val="none" w:sz="0" w:space="0" w:color="auto"/>
            <w:right w:val="none" w:sz="0" w:space="0" w:color="auto"/>
          </w:divBdr>
        </w:div>
        <w:div w:id="1008140563">
          <w:marLeft w:val="0"/>
          <w:marRight w:val="0"/>
          <w:marTop w:val="0"/>
          <w:marBottom w:val="0"/>
          <w:divBdr>
            <w:top w:val="none" w:sz="0" w:space="0" w:color="auto"/>
            <w:left w:val="none" w:sz="0" w:space="0" w:color="auto"/>
            <w:bottom w:val="none" w:sz="0" w:space="0" w:color="auto"/>
            <w:right w:val="none" w:sz="0" w:space="0" w:color="auto"/>
          </w:divBdr>
          <w:divsChild>
            <w:div w:id="773938109">
              <w:marLeft w:val="0"/>
              <w:marRight w:val="0"/>
              <w:marTop w:val="0"/>
              <w:marBottom w:val="0"/>
              <w:divBdr>
                <w:top w:val="none" w:sz="0" w:space="0" w:color="auto"/>
                <w:left w:val="none" w:sz="0" w:space="0" w:color="auto"/>
                <w:bottom w:val="none" w:sz="0" w:space="0" w:color="auto"/>
                <w:right w:val="none" w:sz="0" w:space="0" w:color="auto"/>
              </w:divBdr>
            </w:div>
            <w:div w:id="1943880984">
              <w:marLeft w:val="0"/>
              <w:marRight w:val="0"/>
              <w:marTop w:val="0"/>
              <w:marBottom w:val="0"/>
              <w:divBdr>
                <w:top w:val="none" w:sz="0" w:space="0" w:color="auto"/>
                <w:left w:val="none" w:sz="0" w:space="0" w:color="auto"/>
                <w:bottom w:val="none" w:sz="0" w:space="0" w:color="auto"/>
                <w:right w:val="none" w:sz="0" w:space="0" w:color="auto"/>
              </w:divBdr>
            </w:div>
          </w:divsChild>
        </w:div>
        <w:div w:id="869955478">
          <w:marLeft w:val="0"/>
          <w:marRight w:val="0"/>
          <w:marTop w:val="0"/>
          <w:marBottom w:val="0"/>
          <w:divBdr>
            <w:top w:val="none" w:sz="0" w:space="0" w:color="auto"/>
            <w:left w:val="none" w:sz="0" w:space="0" w:color="auto"/>
            <w:bottom w:val="none" w:sz="0" w:space="0" w:color="auto"/>
            <w:right w:val="none" w:sz="0" w:space="0" w:color="auto"/>
          </w:divBdr>
          <w:divsChild>
            <w:div w:id="1029798109">
              <w:marLeft w:val="0"/>
              <w:marRight w:val="0"/>
              <w:marTop w:val="0"/>
              <w:marBottom w:val="0"/>
              <w:divBdr>
                <w:top w:val="none" w:sz="0" w:space="0" w:color="auto"/>
                <w:left w:val="none" w:sz="0" w:space="0" w:color="auto"/>
                <w:bottom w:val="none" w:sz="0" w:space="0" w:color="auto"/>
                <w:right w:val="none" w:sz="0" w:space="0" w:color="auto"/>
              </w:divBdr>
            </w:div>
            <w:div w:id="1921137718">
              <w:marLeft w:val="0"/>
              <w:marRight w:val="0"/>
              <w:marTop w:val="0"/>
              <w:marBottom w:val="0"/>
              <w:divBdr>
                <w:top w:val="none" w:sz="0" w:space="0" w:color="auto"/>
                <w:left w:val="none" w:sz="0" w:space="0" w:color="auto"/>
                <w:bottom w:val="none" w:sz="0" w:space="0" w:color="auto"/>
                <w:right w:val="none" w:sz="0" w:space="0" w:color="auto"/>
              </w:divBdr>
            </w:div>
            <w:div w:id="1647929288">
              <w:marLeft w:val="0"/>
              <w:marRight w:val="0"/>
              <w:marTop w:val="0"/>
              <w:marBottom w:val="0"/>
              <w:divBdr>
                <w:top w:val="none" w:sz="0" w:space="0" w:color="auto"/>
                <w:left w:val="none" w:sz="0" w:space="0" w:color="auto"/>
                <w:bottom w:val="none" w:sz="0" w:space="0" w:color="auto"/>
                <w:right w:val="none" w:sz="0" w:space="0" w:color="auto"/>
              </w:divBdr>
            </w:div>
            <w:div w:id="1689213581">
              <w:marLeft w:val="0"/>
              <w:marRight w:val="0"/>
              <w:marTop w:val="0"/>
              <w:marBottom w:val="0"/>
              <w:divBdr>
                <w:top w:val="none" w:sz="0" w:space="0" w:color="auto"/>
                <w:left w:val="none" w:sz="0" w:space="0" w:color="auto"/>
                <w:bottom w:val="none" w:sz="0" w:space="0" w:color="auto"/>
                <w:right w:val="none" w:sz="0" w:space="0" w:color="auto"/>
              </w:divBdr>
            </w:div>
            <w:div w:id="980311164">
              <w:marLeft w:val="0"/>
              <w:marRight w:val="0"/>
              <w:marTop w:val="0"/>
              <w:marBottom w:val="0"/>
              <w:divBdr>
                <w:top w:val="none" w:sz="0" w:space="0" w:color="auto"/>
                <w:left w:val="none" w:sz="0" w:space="0" w:color="auto"/>
                <w:bottom w:val="none" w:sz="0" w:space="0" w:color="auto"/>
                <w:right w:val="none" w:sz="0" w:space="0" w:color="auto"/>
              </w:divBdr>
            </w:div>
          </w:divsChild>
        </w:div>
        <w:div w:id="410128042">
          <w:marLeft w:val="0"/>
          <w:marRight w:val="0"/>
          <w:marTop w:val="0"/>
          <w:marBottom w:val="0"/>
          <w:divBdr>
            <w:top w:val="none" w:sz="0" w:space="0" w:color="auto"/>
            <w:left w:val="none" w:sz="0" w:space="0" w:color="auto"/>
            <w:bottom w:val="none" w:sz="0" w:space="0" w:color="auto"/>
            <w:right w:val="none" w:sz="0" w:space="0" w:color="auto"/>
          </w:divBdr>
          <w:divsChild>
            <w:div w:id="1174370975">
              <w:marLeft w:val="0"/>
              <w:marRight w:val="0"/>
              <w:marTop w:val="0"/>
              <w:marBottom w:val="0"/>
              <w:divBdr>
                <w:top w:val="none" w:sz="0" w:space="0" w:color="auto"/>
                <w:left w:val="none" w:sz="0" w:space="0" w:color="auto"/>
                <w:bottom w:val="none" w:sz="0" w:space="0" w:color="auto"/>
                <w:right w:val="none" w:sz="0" w:space="0" w:color="auto"/>
              </w:divBdr>
            </w:div>
            <w:div w:id="1157307459">
              <w:marLeft w:val="0"/>
              <w:marRight w:val="0"/>
              <w:marTop w:val="0"/>
              <w:marBottom w:val="0"/>
              <w:divBdr>
                <w:top w:val="none" w:sz="0" w:space="0" w:color="auto"/>
                <w:left w:val="none" w:sz="0" w:space="0" w:color="auto"/>
                <w:bottom w:val="none" w:sz="0" w:space="0" w:color="auto"/>
                <w:right w:val="none" w:sz="0" w:space="0" w:color="auto"/>
              </w:divBdr>
            </w:div>
            <w:div w:id="1773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Hartman, Katie</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66FD3-A46A-40DF-9122-2768A25D297D}">
  <ds:schemaRefs>
    <ds:schemaRef ds:uri="http://schemas.openxmlformats.org/officeDocument/2006/bibliography"/>
  </ds:schemaRefs>
</ds:datastoreItem>
</file>

<file path=customXml/itemProps2.xml><?xml version="1.0" encoding="utf-8"?>
<ds:datastoreItem xmlns:ds="http://schemas.openxmlformats.org/officeDocument/2006/customXml" ds:itemID="{963091E3-D8D2-4DCD-9C2C-30522C4564CB}">
  <ds:schemaRefs>
    <ds:schemaRef ds:uri="http://schemas.microsoft.com/office/2006/metadata/properties"/>
    <ds:schemaRef ds:uri="http://schemas.microsoft.com/office/infopath/2007/PartnerControls"/>
    <ds:schemaRef ds:uri="eccaf8a7-4885-4b5d-9d78-6ce599a6182f"/>
    <ds:schemaRef ds:uri="c2632d50-d775-425b-9b00-56996fc67b2c"/>
  </ds:schemaRefs>
</ds:datastoreItem>
</file>

<file path=customXml/itemProps3.xml><?xml version="1.0" encoding="utf-8"?>
<ds:datastoreItem xmlns:ds="http://schemas.openxmlformats.org/officeDocument/2006/customXml" ds:itemID="{74FB2D19-DF9D-46FB-9937-B237E0DB2EF1}">
  <ds:schemaRefs>
    <ds:schemaRef ds:uri="http://schemas.microsoft.com/sharepoint/v3/contenttype/forms"/>
  </ds:schemaRefs>
</ds:datastoreItem>
</file>

<file path=customXml/itemProps4.xml><?xml version="1.0" encoding="utf-8"?>
<ds:datastoreItem xmlns:ds="http://schemas.openxmlformats.org/officeDocument/2006/customXml" ds:itemID="{04D5620F-E58B-4760-B9BF-AFE37B5F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 Todd</dc:creator>
  <cp:keywords/>
  <dc:description/>
  <cp:lastModifiedBy>Brock, Angela</cp:lastModifiedBy>
  <cp:revision>2</cp:revision>
  <cp:lastPrinted>2022-09-09T03:01:00Z</cp:lastPrinted>
  <dcterms:created xsi:type="dcterms:W3CDTF">2022-11-07T16:53:00Z</dcterms:created>
  <dcterms:modified xsi:type="dcterms:W3CDTF">2022-11-07T16:53:00Z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