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0838" w14:textId="77777777" w:rsidR="005356B9" w:rsidRDefault="00002FC1">
      <w:pPr>
        <w:spacing w:after="10" w:line="249" w:lineRule="auto"/>
        <w:ind w:left="398" w:right="280"/>
        <w:jc w:val="center"/>
      </w:pPr>
      <w:r>
        <w:rPr>
          <w:b/>
        </w:rPr>
        <w:t xml:space="preserve">Ohio University Faculty Senate </w:t>
      </w:r>
    </w:p>
    <w:p w14:paraId="17132F67" w14:textId="77777777" w:rsidR="005356B9" w:rsidRDefault="00002FC1">
      <w:pPr>
        <w:spacing w:after="0" w:line="259" w:lineRule="auto"/>
        <w:ind w:left="0" w:firstLine="0"/>
      </w:pPr>
      <w:r>
        <w:rPr>
          <w:b/>
        </w:rPr>
        <w:t xml:space="preserve"> </w:t>
      </w:r>
    </w:p>
    <w:p w14:paraId="560E3AD7" w14:textId="77777777" w:rsidR="005356B9" w:rsidRDefault="00002FC1">
      <w:pPr>
        <w:spacing w:after="10" w:line="249" w:lineRule="auto"/>
        <w:ind w:left="398" w:right="280"/>
        <w:jc w:val="center"/>
      </w:pPr>
      <w:r>
        <w:rPr>
          <w:b/>
        </w:rPr>
        <w:t xml:space="preserve">Resolution Clarifying Next Step To Be Taken After an Affirmative Decision </w:t>
      </w:r>
    </w:p>
    <w:p w14:paraId="7AF41B53" w14:textId="77777777" w:rsidR="005356B9" w:rsidRDefault="00002FC1">
      <w:pPr>
        <w:spacing w:after="10" w:line="249" w:lineRule="auto"/>
        <w:ind w:left="398" w:right="220"/>
        <w:jc w:val="center"/>
      </w:pPr>
      <w:r>
        <w:rPr>
          <w:b/>
        </w:rPr>
        <w:t xml:space="preserve">Made by the Standing Committee on P&amp;T Regarding a P&amp;T Appeal Submitted by the Standing Committee on Promotion and Tenure </w:t>
      </w:r>
    </w:p>
    <w:p w14:paraId="01C93B76" w14:textId="77777777" w:rsidR="005356B9" w:rsidRDefault="00002FC1">
      <w:pPr>
        <w:spacing w:after="0" w:line="259" w:lineRule="auto"/>
        <w:ind w:left="169" w:firstLine="0"/>
        <w:jc w:val="center"/>
      </w:pPr>
      <w:r>
        <w:rPr>
          <w:b/>
        </w:rPr>
        <w:t xml:space="preserve"> </w:t>
      </w:r>
    </w:p>
    <w:p w14:paraId="1FFADE88" w14:textId="2934E20F" w:rsidR="005356B9" w:rsidRDefault="00B547B6">
      <w:pPr>
        <w:spacing w:after="10" w:line="249" w:lineRule="auto"/>
        <w:ind w:left="398" w:right="280"/>
        <w:jc w:val="center"/>
        <w:rPr>
          <w:b/>
        </w:rPr>
      </w:pPr>
      <w:r>
        <w:rPr>
          <w:b/>
        </w:rPr>
        <w:t>Novem</w:t>
      </w:r>
      <w:r w:rsidR="00002FC1">
        <w:rPr>
          <w:b/>
        </w:rPr>
        <w:t xml:space="preserve">ber </w:t>
      </w:r>
      <w:r>
        <w:rPr>
          <w:b/>
        </w:rPr>
        <w:t>1</w:t>
      </w:r>
      <w:r w:rsidR="00002FC1">
        <w:rPr>
          <w:b/>
        </w:rPr>
        <w:t xml:space="preserve">, 2021 </w:t>
      </w:r>
    </w:p>
    <w:p w14:paraId="6CD12CEB" w14:textId="373B983E" w:rsidR="00B547B6" w:rsidRDefault="006B38D0">
      <w:pPr>
        <w:spacing w:after="10" w:line="249" w:lineRule="auto"/>
        <w:ind w:left="398" w:right="280"/>
        <w:jc w:val="center"/>
      </w:pPr>
      <w:r>
        <w:rPr>
          <w:b/>
        </w:rPr>
        <w:t>Passed</w:t>
      </w:r>
    </w:p>
    <w:p w14:paraId="5D11AE4D" w14:textId="3994BDC2" w:rsidR="005356B9" w:rsidRDefault="005356B9">
      <w:pPr>
        <w:spacing w:after="0" w:line="259" w:lineRule="auto"/>
        <w:ind w:left="0" w:firstLine="0"/>
      </w:pPr>
    </w:p>
    <w:p w14:paraId="0A58ACEC" w14:textId="77777777" w:rsidR="005356B9" w:rsidRDefault="00002FC1">
      <w:pPr>
        <w:ind w:left="-5"/>
      </w:pPr>
      <w:r>
        <w:rPr>
          <w:b/>
        </w:rPr>
        <w:t>Whereas</w:t>
      </w:r>
      <w:r>
        <w:t xml:space="preserve"> the </w:t>
      </w:r>
      <w:r>
        <w:rPr>
          <w:i/>
        </w:rPr>
        <w:t>Ohio University Faculty Handbook</w:t>
      </w:r>
      <w:r>
        <w:t xml:space="preserve"> contains contradictory information describing when to convene a formal hearing after the Standing Committee on Promotion and Tenure of the Faculty Senate has voted to support an appeal for denial of tenure and/or promotion; </w:t>
      </w:r>
    </w:p>
    <w:p w14:paraId="06EE9143" w14:textId="77777777" w:rsidR="005356B9" w:rsidRDefault="00002FC1">
      <w:pPr>
        <w:ind w:left="-5"/>
      </w:pPr>
      <w:r>
        <w:rPr>
          <w:b/>
        </w:rPr>
        <w:t xml:space="preserve">Whereas </w:t>
      </w:r>
      <w:r>
        <w:t xml:space="preserve">Section II.F.2. of the </w:t>
      </w:r>
      <w:r>
        <w:rPr>
          <w:i/>
        </w:rPr>
        <w:t xml:space="preserve">Handbook </w:t>
      </w:r>
      <w:r>
        <w:t xml:space="preserve">states, in part, “If the Standing Committee on Promotion and Tenure of the Faculty Senate supports the appeal, the case will be returned to the department/school for reconsideration. If the department/school again denies the appeal, the case may proceed to the formal hearing at the request of the faculty member (see </w:t>
      </w:r>
      <w:r>
        <w:rPr>
          <w:color w:val="0463C1"/>
          <w:u w:val="single" w:color="0463C1"/>
        </w:rPr>
        <w:t>Section II.F.7</w:t>
      </w:r>
      <w:r>
        <w:t xml:space="preserve">)”, and  </w:t>
      </w:r>
    </w:p>
    <w:p w14:paraId="09475B4F" w14:textId="77777777" w:rsidR="005356B9" w:rsidRDefault="00002FC1">
      <w:pPr>
        <w:ind w:left="-5"/>
      </w:pPr>
      <w:r>
        <w:rPr>
          <w:b/>
        </w:rPr>
        <w:t xml:space="preserve">Whereas </w:t>
      </w:r>
      <w:r>
        <w:t>Section II.F.7.</w:t>
      </w:r>
      <w:r>
        <w:rPr>
          <w:b/>
        </w:rPr>
        <w:t xml:space="preserve"> </w:t>
      </w:r>
      <w:r>
        <w:t xml:space="preserve">describes the procedure differently: “If the Standing Committee on Promotion and Tenure of the Faculty Senate has found that a formal proceeding is warranted on the evidence presented to it, the committee will so inform the chair of the Faculty Senate. In consultation with the Executive Committee of the Faculty Senate, the chair shall appoint five tenured faculty members, at rank or above, none of whom shall be from the </w:t>
      </w:r>
      <w:proofErr w:type="spellStart"/>
      <w:r>
        <w:t>grievant’s</w:t>
      </w:r>
      <w:proofErr w:type="spellEnd"/>
      <w:r>
        <w:t xml:space="preserve"> department, to constitute a hearing committee….”; </w:t>
      </w:r>
    </w:p>
    <w:p w14:paraId="1186A05F" w14:textId="77777777" w:rsidR="005356B9" w:rsidRDefault="00002FC1">
      <w:pPr>
        <w:ind w:left="-5"/>
      </w:pPr>
      <w:r>
        <w:rPr>
          <w:b/>
        </w:rPr>
        <w:t xml:space="preserve">Be it resolved </w:t>
      </w:r>
      <w:r>
        <w:t xml:space="preserve">that the portion of II.F.2. stated above be replaced with the following: “If the Standing Committee on Promotion and Tenure of the Faculty Senate supports the appeal, the case will proceed to a formal hearing at the request of the appellant faculty member (see </w:t>
      </w:r>
      <w:r>
        <w:rPr>
          <w:color w:val="0463C1"/>
          <w:u w:val="single" w:color="0463C1"/>
        </w:rPr>
        <w:t>Section II.F.7</w:t>
      </w:r>
      <w:r>
        <w:t xml:space="preserve"> for the exact procedure to follow).” </w:t>
      </w:r>
    </w:p>
    <w:p w14:paraId="74C3189A" w14:textId="77777777" w:rsidR="005356B9" w:rsidRDefault="00002FC1">
      <w:pPr>
        <w:spacing w:after="0" w:line="259" w:lineRule="auto"/>
        <w:ind w:left="0" w:firstLine="0"/>
      </w:pPr>
      <w:r>
        <w:t xml:space="preserve"> </w:t>
      </w:r>
    </w:p>
    <w:sectPr w:rsidR="005356B9">
      <w:pgSz w:w="12240" w:h="15840"/>
      <w:pgMar w:top="1440" w:right="154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B9"/>
    <w:rsid w:val="00002FC1"/>
    <w:rsid w:val="005356B9"/>
    <w:rsid w:val="006B38D0"/>
    <w:rsid w:val="007D0A3C"/>
    <w:rsid w:val="00B547B6"/>
    <w:rsid w:val="00DC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E7504"/>
  <w15:docId w15:val="{E412835B-8B59-6E4A-9E2C-BDAF560C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9" w:line="223" w:lineRule="auto"/>
      <w:ind w:left="10" w:hanging="10"/>
    </w:pPr>
    <w:rPr>
      <w:rFonts w:ascii="Palatino Linotype" w:eastAsia="Palatino Linotype" w:hAnsi="Palatino Linotype" w:cs="Palatino Linotyp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Resolution Clarifying Next Step Affirmative P&amp;T Appeal First Reading (2).docx</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Resolution Clarifying Next Step Affirmative P&amp;T Appeal First Reading (2).docx</dc:title>
  <dc:subject/>
  <dc:creator>Brock, Angela</dc:creator>
  <cp:keywords/>
  <cp:lastModifiedBy>Brock, Angela</cp:lastModifiedBy>
  <cp:revision>3</cp:revision>
  <dcterms:created xsi:type="dcterms:W3CDTF">2021-11-02T12:52:00Z</dcterms:created>
  <dcterms:modified xsi:type="dcterms:W3CDTF">2021-11-04T14:34:00Z</dcterms:modified>
</cp:coreProperties>
</file>