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D71F" w14:textId="77777777" w:rsidR="005B366F" w:rsidRDefault="00000000">
      <w:pPr>
        <w:spacing w:after="19"/>
        <w:ind w:right="2"/>
        <w:jc w:val="center"/>
      </w:pPr>
      <w:r>
        <w:rPr>
          <w:rFonts w:ascii="Garamond" w:eastAsia="Garamond" w:hAnsi="Garamond" w:cs="Garamond"/>
          <w:b/>
          <w:sz w:val="24"/>
        </w:rPr>
        <w:t xml:space="preserve">Resolution to update the parliamentary authority governing Faculty Senate </w:t>
      </w:r>
    </w:p>
    <w:p w14:paraId="56B38F63" w14:textId="77777777" w:rsidR="005B366F" w:rsidRDefault="00000000">
      <w:pPr>
        <w:spacing w:after="20"/>
        <w:ind w:left="10" w:right="4" w:hanging="10"/>
        <w:jc w:val="center"/>
      </w:pPr>
      <w:r>
        <w:rPr>
          <w:rFonts w:ascii="Garamond" w:eastAsia="Garamond" w:hAnsi="Garamond" w:cs="Garamond"/>
          <w:sz w:val="24"/>
        </w:rPr>
        <w:t xml:space="preserve">Executive Committee </w:t>
      </w:r>
    </w:p>
    <w:p w14:paraId="41909B9C" w14:textId="031D0053" w:rsidR="005B366F" w:rsidRDefault="00000000">
      <w:pPr>
        <w:spacing w:after="20"/>
        <w:ind w:left="10" w:hanging="10"/>
        <w:jc w:val="center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Faculty Senate </w:t>
      </w:r>
    </w:p>
    <w:p w14:paraId="0AA21638" w14:textId="473D8707" w:rsidR="005334F8" w:rsidRDefault="005334F8">
      <w:pPr>
        <w:spacing w:after="20"/>
        <w:ind w:left="10" w:hanging="10"/>
        <w:jc w:val="center"/>
      </w:pPr>
      <w:r>
        <w:rPr>
          <w:rFonts w:ascii="Garamond" w:eastAsia="Garamond" w:hAnsi="Garamond" w:cs="Garamond"/>
          <w:sz w:val="24"/>
        </w:rPr>
        <w:t>PASSED</w:t>
      </w:r>
    </w:p>
    <w:p w14:paraId="63AE96EC" w14:textId="1E50215F" w:rsidR="005B366F" w:rsidRDefault="00000000">
      <w:pPr>
        <w:spacing w:after="334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>Novem</w:t>
      </w:r>
      <w:r>
        <w:rPr>
          <w:rFonts w:ascii="Garamond" w:eastAsia="Garamond" w:hAnsi="Garamond" w:cs="Garamond"/>
          <w:sz w:val="24"/>
        </w:rPr>
        <w:t xml:space="preserve">ber </w:t>
      </w:r>
      <w:r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Garamond" w:eastAsia="Garamond" w:hAnsi="Garamond" w:cs="Garamond"/>
          <w:sz w:val="24"/>
        </w:rPr>
        <w:t xml:space="preserve">, 2022 </w:t>
      </w:r>
    </w:p>
    <w:p w14:paraId="3BE0C11D" w14:textId="77777777" w:rsidR="005B366F" w:rsidRDefault="00000000">
      <w:pPr>
        <w:spacing w:after="315" w:line="277" w:lineRule="auto"/>
        <w:ind w:left="-5" w:right="-14" w:hanging="10"/>
        <w:jc w:val="both"/>
      </w:pPr>
      <w:r>
        <w:rPr>
          <w:rFonts w:ascii="Garamond" w:eastAsia="Garamond" w:hAnsi="Garamond" w:cs="Garamond"/>
          <w:i/>
          <w:sz w:val="24"/>
        </w:rPr>
        <w:t>Whereas</w:t>
      </w:r>
      <w:r>
        <w:rPr>
          <w:rFonts w:ascii="Garamond" w:eastAsia="Garamond" w:hAnsi="Garamond" w:cs="Garamond"/>
          <w:sz w:val="24"/>
        </w:rPr>
        <w:t xml:space="preserve"> the </w:t>
      </w:r>
      <w:r>
        <w:rPr>
          <w:rFonts w:ascii="Garamond" w:eastAsia="Garamond" w:hAnsi="Garamond" w:cs="Garamond"/>
          <w:i/>
          <w:sz w:val="24"/>
        </w:rPr>
        <w:t>Ohio University Faculty Handbook</w:t>
      </w:r>
      <w:r>
        <w:rPr>
          <w:rFonts w:ascii="Garamond" w:eastAsia="Garamond" w:hAnsi="Garamond" w:cs="Garamond"/>
          <w:sz w:val="24"/>
        </w:rPr>
        <w:t xml:space="preserve">  (Section IV.B.10) specifies that Senate meetings will be conducted under the parliamentary authority of the </w:t>
      </w:r>
      <w:r>
        <w:rPr>
          <w:rFonts w:ascii="Garamond" w:eastAsia="Garamond" w:hAnsi="Garamond" w:cs="Garamond"/>
          <w:i/>
          <w:sz w:val="24"/>
        </w:rPr>
        <w:t>Sturgis Standard Code of Parliamentary Procedure</w:t>
      </w:r>
      <w:r>
        <w:rPr>
          <w:rFonts w:ascii="Garamond" w:eastAsia="Garamond" w:hAnsi="Garamond" w:cs="Garamond"/>
          <w:sz w:val="24"/>
        </w:rPr>
        <w:t xml:space="preserve">, </w:t>
      </w:r>
    </w:p>
    <w:p w14:paraId="385D4629" w14:textId="77777777" w:rsidR="005B366F" w:rsidRDefault="00000000">
      <w:pPr>
        <w:spacing w:after="313" w:line="275" w:lineRule="auto"/>
      </w:pPr>
      <w:r>
        <w:rPr>
          <w:rFonts w:ascii="Garamond" w:eastAsia="Garamond" w:hAnsi="Garamond" w:cs="Garamond"/>
          <w:i/>
          <w:sz w:val="24"/>
        </w:rPr>
        <w:t>Whereas</w:t>
      </w:r>
      <w:r>
        <w:rPr>
          <w:rFonts w:ascii="Garamond" w:eastAsia="Garamond" w:hAnsi="Garamond" w:cs="Garamond"/>
          <w:sz w:val="24"/>
        </w:rPr>
        <w:t xml:space="preserve"> the </w:t>
      </w:r>
      <w:r>
        <w:rPr>
          <w:rFonts w:ascii="Garamond" w:eastAsia="Garamond" w:hAnsi="Garamond" w:cs="Garamond"/>
          <w:i/>
          <w:sz w:val="24"/>
        </w:rPr>
        <w:t>Sturgis Standard Code of Parliamentary Procedure</w:t>
      </w:r>
      <w:r>
        <w:rPr>
          <w:rFonts w:ascii="Garamond" w:eastAsia="Garamond" w:hAnsi="Garamond" w:cs="Garamond"/>
          <w:sz w:val="24"/>
        </w:rPr>
        <w:t xml:space="preserve"> was retitled </w:t>
      </w:r>
      <w:r>
        <w:rPr>
          <w:rFonts w:ascii="Garamond" w:eastAsia="Garamond" w:hAnsi="Garamond" w:cs="Garamond"/>
          <w:i/>
          <w:sz w:val="24"/>
        </w:rPr>
        <w:t xml:space="preserve">American Institute of Parliamentarians Standard Code of Parliamentary Procedure </w:t>
      </w:r>
      <w:r>
        <w:rPr>
          <w:rFonts w:ascii="Garamond" w:eastAsia="Garamond" w:hAnsi="Garamond" w:cs="Garamond"/>
          <w:sz w:val="24"/>
        </w:rPr>
        <w:t xml:space="preserve">in 2012, </w:t>
      </w:r>
    </w:p>
    <w:p w14:paraId="6D595774" w14:textId="77777777" w:rsidR="005B366F" w:rsidRDefault="00000000">
      <w:pPr>
        <w:spacing w:after="624" w:line="277" w:lineRule="auto"/>
        <w:ind w:left="-5" w:right="-14" w:hanging="10"/>
        <w:jc w:val="both"/>
      </w:pPr>
      <w:r>
        <w:rPr>
          <w:rFonts w:ascii="Garamond" w:eastAsia="Garamond" w:hAnsi="Garamond" w:cs="Garamond"/>
          <w:i/>
          <w:sz w:val="24"/>
        </w:rPr>
        <w:t xml:space="preserve">BE IT RESOLVED </w:t>
      </w:r>
      <w:r>
        <w:rPr>
          <w:rFonts w:ascii="Garamond" w:eastAsia="Garamond" w:hAnsi="Garamond" w:cs="Garamond"/>
          <w:sz w:val="24"/>
        </w:rPr>
        <w:t xml:space="preserve"> that Section IV.B.10 of the </w:t>
      </w:r>
      <w:r>
        <w:rPr>
          <w:rFonts w:ascii="Garamond" w:eastAsia="Garamond" w:hAnsi="Garamond" w:cs="Garamond"/>
          <w:i/>
          <w:sz w:val="24"/>
        </w:rPr>
        <w:t>Ohio University Faculty Handbook</w:t>
      </w:r>
      <w:r>
        <w:rPr>
          <w:rFonts w:ascii="Garamond" w:eastAsia="Garamond" w:hAnsi="Garamond" w:cs="Garamond"/>
          <w:sz w:val="24"/>
        </w:rPr>
        <w:t xml:space="preserve"> should be amended to read </w:t>
      </w:r>
    </w:p>
    <w:p w14:paraId="177CDEB3" w14:textId="21D91DBE" w:rsidR="005B366F" w:rsidRDefault="00150360">
      <w:pPr>
        <w:spacing w:after="334"/>
      </w:pPr>
      <w:r>
        <w:rPr>
          <w:rFonts w:ascii="Garamond" w:eastAsia="Garamond" w:hAnsi="Garamond" w:cs="Garamond"/>
          <w:b/>
          <w:sz w:val="24"/>
        </w:rPr>
        <w:t>VI</w:t>
      </w:r>
      <w:r w:rsidR="00000000">
        <w:rPr>
          <w:rFonts w:ascii="Garamond" w:eastAsia="Garamond" w:hAnsi="Garamond" w:cs="Garamond"/>
          <w:b/>
          <w:sz w:val="24"/>
        </w:rPr>
        <w:t>.B.10. Parliamentary Authority</w:t>
      </w:r>
    </w:p>
    <w:p w14:paraId="2C783FB0" w14:textId="77777777" w:rsidR="005B366F" w:rsidRDefault="00000000">
      <w:pPr>
        <w:spacing w:after="315" w:line="277" w:lineRule="auto"/>
        <w:ind w:left="730" w:right="720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C30016E" wp14:editId="78B39F2A">
                <wp:simplePos x="0" y="0"/>
                <wp:positionH relativeFrom="column">
                  <wp:posOffset>5085030</wp:posOffset>
                </wp:positionH>
                <wp:positionV relativeFrom="paragraph">
                  <wp:posOffset>217677</wp:posOffset>
                </wp:positionV>
                <wp:extent cx="402641" cy="7620"/>
                <wp:effectExtent l="0" t="0" r="0" b="0"/>
                <wp:wrapNone/>
                <wp:docPr id="466" name="Group 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641" cy="7620"/>
                          <a:chOff x="0" y="0"/>
                          <a:chExt cx="402641" cy="7620"/>
                        </a:xfrm>
                      </wpg:grpSpPr>
                      <wps:wsp>
                        <wps:cNvPr id="558" name="Shape 558"/>
                        <wps:cNvSpPr/>
                        <wps:spPr>
                          <a:xfrm>
                            <a:off x="0" y="0"/>
                            <a:ext cx="4026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641" h="9144">
                                <a:moveTo>
                                  <a:pt x="0" y="0"/>
                                </a:moveTo>
                                <a:lnTo>
                                  <a:pt x="402641" y="0"/>
                                </a:lnTo>
                                <a:lnTo>
                                  <a:pt x="4026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66" style="width:31.704pt;height:0.600006pt;position:absolute;z-index:36;mso-position-horizontal-relative:text;mso-position-horizontal:absolute;margin-left:400.396pt;mso-position-vertical-relative:text;margin-top:17.14pt;" coordsize="4026,76">
                <v:shape id="Shape 559" style="position:absolute;width:4026;height:91;left:0;top:0;" coordsize="402641,9144" path="m0,0l402641,0l402641,9144l0,9144l0,0">
                  <v:stroke weight="0pt" endcap="flat" joinstyle="miter" miterlimit="10" on="false" color="#000000" opacity="0"/>
                  <v:fill on="true" color="#ff000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EE1608" wp14:editId="51CFE97A">
                <wp:simplePos x="0" y="0"/>
                <wp:positionH relativeFrom="column">
                  <wp:posOffset>457149</wp:posOffset>
                </wp:positionH>
                <wp:positionV relativeFrom="paragraph">
                  <wp:posOffset>417321</wp:posOffset>
                </wp:positionV>
                <wp:extent cx="2618867" cy="7620"/>
                <wp:effectExtent l="0" t="0" r="0" b="0"/>
                <wp:wrapNone/>
                <wp:docPr id="467" name="Group 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8867" cy="7620"/>
                          <a:chOff x="0" y="0"/>
                          <a:chExt cx="2618867" cy="7620"/>
                        </a:xfrm>
                      </wpg:grpSpPr>
                      <wps:wsp>
                        <wps:cNvPr id="560" name="Shape 560"/>
                        <wps:cNvSpPr/>
                        <wps:spPr>
                          <a:xfrm>
                            <a:off x="0" y="0"/>
                            <a:ext cx="26188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8867" h="9144">
                                <a:moveTo>
                                  <a:pt x="0" y="0"/>
                                </a:moveTo>
                                <a:lnTo>
                                  <a:pt x="2618867" y="0"/>
                                </a:lnTo>
                                <a:lnTo>
                                  <a:pt x="26188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67" style="width:206.21pt;height:0.600006pt;position:absolute;z-index:39;mso-position-horizontal-relative:text;mso-position-horizontal:absolute;margin-left:35.996pt;mso-position-vertical-relative:text;margin-top:32.86pt;" coordsize="26188,76">
                <v:shape id="Shape 561" style="position:absolute;width:26188;height:91;left:0;top:0;" coordsize="2618867,9144" path="m0,0l2618867,0l2618867,9144l0,9144l0,0">
                  <v:stroke weight="0pt" endcap="flat" joinstyle="miter" miterlimit="10" on="false" color="#000000" opacity="0"/>
                  <v:fill on="true" color="#ff0000"/>
                </v:shape>
              </v:group>
            </w:pict>
          </mc:Fallback>
        </mc:AlternateContent>
      </w:r>
      <w:r>
        <w:rPr>
          <w:rFonts w:ascii="Garamond" w:eastAsia="Garamond" w:hAnsi="Garamond" w:cs="Garamond"/>
          <w:sz w:val="24"/>
        </w:rPr>
        <w:t xml:space="preserve">The parliamentary authority for conducting Senate meetings will be the </w:t>
      </w:r>
      <w:r>
        <w:rPr>
          <w:rFonts w:ascii="Garamond" w:eastAsia="Garamond" w:hAnsi="Garamond" w:cs="Garamond"/>
          <w:color w:val="FF0000"/>
          <w:sz w:val="24"/>
        </w:rPr>
        <w:t xml:space="preserve">Sturgis Standard Code of Parliamentary Procedure </w:t>
      </w:r>
      <w:r>
        <w:rPr>
          <w:rFonts w:ascii="Garamond" w:eastAsia="Garamond" w:hAnsi="Garamond" w:cs="Garamond"/>
          <w:color w:val="2E74B5"/>
          <w:sz w:val="24"/>
        </w:rPr>
        <w:t>American Institute of Parliamentarians Standard Code of Parliamentary Procedure (AIPSC).</w:t>
      </w:r>
      <w:r>
        <w:rPr>
          <w:rFonts w:ascii="Garamond" w:eastAsia="Garamond" w:hAnsi="Garamond" w:cs="Garamond"/>
          <w:sz w:val="24"/>
        </w:rPr>
        <w:t xml:space="preserve">  The chair of the Senate will appoint a parliamentarian, who will serve for each academic year. </w:t>
      </w:r>
    </w:p>
    <w:sectPr w:rsidR="005B366F">
      <w:pgSz w:w="12240" w:h="15840"/>
      <w:pgMar w:top="1440" w:right="143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66F"/>
    <w:rsid w:val="00150360"/>
    <w:rsid w:val="005334F8"/>
    <w:rsid w:val="005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7D5863"/>
  <w15:docId w15:val="{61A0795D-F41E-FF48-9214-410ABB3C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Wyatt, Sarah</dc:creator>
  <cp:keywords/>
  <cp:lastModifiedBy>Brock, Angela</cp:lastModifiedBy>
  <cp:revision>3</cp:revision>
  <dcterms:created xsi:type="dcterms:W3CDTF">2022-11-08T16:03:00Z</dcterms:created>
  <dcterms:modified xsi:type="dcterms:W3CDTF">2023-01-30T21:30:00Z</dcterms:modified>
</cp:coreProperties>
</file>