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EEA5" w14:textId="687C6811" w:rsidR="002E3CDA" w:rsidRPr="00625231" w:rsidRDefault="002E3CDA" w:rsidP="00D71449">
      <w:pPr>
        <w:spacing w:after="0"/>
        <w:jc w:val="center"/>
        <w:rPr>
          <w:rFonts w:asciiTheme="majorHAnsi" w:hAnsiTheme="majorHAnsi" w:cstheme="majorHAnsi"/>
          <w:b/>
          <w:szCs w:val="24"/>
        </w:rPr>
      </w:pPr>
      <w:bookmarkStart w:id="0" w:name="_Ref476123266"/>
      <w:r w:rsidRPr="00625231">
        <w:rPr>
          <w:rFonts w:asciiTheme="majorHAnsi" w:hAnsiTheme="majorHAnsi" w:cstheme="majorHAnsi"/>
          <w:b/>
          <w:szCs w:val="24"/>
        </w:rPr>
        <w:t xml:space="preserve">Resolution to </w:t>
      </w:r>
      <w:r w:rsidR="008B19DF" w:rsidRPr="00625231">
        <w:rPr>
          <w:rFonts w:asciiTheme="majorHAnsi" w:hAnsiTheme="majorHAnsi" w:cstheme="majorHAnsi"/>
          <w:b/>
          <w:szCs w:val="24"/>
        </w:rPr>
        <w:t>Clarify</w:t>
      </w:r>
      <w:r w:rsidR="00DF4ED3" w:rsidRPr="00625231">
        <w:rPr>
          <w:rFonts w:asciiTheme="majorHAnsi" w:hAnsiTheme="majorHAnsi" w:cstheme="majorHAnsi"/>
          <w:b/>
          <w:szCs w:val="24"/>
        </w:rPr>
        <w:t xml:space="preserve"> Faculty</w:t>
      </w:r>
      <w:r w:rsidR="008B19DF" w:rsidRPr="00625231">
        <w:rPr>
          <w:rFonts w:asciiTheme="majorHAnsi" w:hAnsiTheme="majorHAnsi" w:cstheme="majorHAnsi"/>
          <w:b/>
          <w:szCs w:val="24"/>
        </w:rPr>
        <w:t xml:space="preserve"> Handbook Language </w:t>
      </w:r>
      <w:r w:rsidR="00484579" w:rsidRPr="00625231">
        <w:rPr>
          <w:rFonts w:asciiTheme="majorHAnsi" w:hAnsiTheme="majorHAnsi" w:cstheme="majorHAnsi"/>
          <w:b/>
          <w:szCs w:val="24"/>
        </w:rPr>
        <w:t>regarding “C</w:t>
      </w:r>
      <w:r w:rsidR="004C5644" w:rsidRPr="00625231">
        <w:rPr>
          <w:rFonts w:asciiTheme="majorHAnsi" w:hAnsiTheme="majorHAnsi" w:cstheme="majorHAnsi"/>
          <w:b/>
          <w:szCs w:val="24"/>
        </w:rPr>
        <w:t>ourse” and “Class”</w:t>
      </w:r>
    </w:p>
    <w:p w14:paraId="11ADEEA6" w14:textId="3A04660F" w:rsidR="002867C8" w:rsidRPr="00625231" w:rsidRDefault="008B19DF" w:rsidP="00A71004">
      <w:pPr>
        <w:spacing w:after="0"/>
        <w:jc w:val="center"/>
        <w:rPr>
          <w:rFonts w:asciiTheme="majorHAnsi" w:hAnsiTheme="majorHAnsi" w:cstheme="majorHAnsi"/>
          <w:szCs w:val="24"/>
        </w:rPr>
      </w:pPr>
      <w:r w:rsidRPr="00625231">
        <w:rPr>
          <w:rFonts w:asciiTheme="majorHAnsi" w:hAnsiTheme="majorHAnsi" w:cstheme="majorHAnsi"/>
          <w:szCs w:val="24"/>
        </w:rPr>
        <w:t>Professional Relations</w:t>
      </w:r>
      <w:r w:rsidR="00EE04F2" w:rsidRPr="00625231">
        <w:rPr>
          <w:rFonts w:asciiTheme="majorHAnsi" w:hAnsiTheme="majorHAnsi" w:cstheme="majorHAnsi"/>
          <w:szCs w:val="24"/>
        </w:rPr>
        <w:t xml:space="preserve"> Committee</w:t>
      </w:r>
    </w:p>
    <w:p w14:paraId="11ADEEA7" w14:textId="3560E7C1" w:rsidR="002867C8" w:rsidRPr="00625231" w:rsidRDefault="002867C8" w:rsidP="00A71004">
      <w:pPr>
        <w:spacing w:after="0"/>
        <w:jc w:val="center"/>
        <w:rPr>
          <w:rFonts w:asciiTheme="majorHAnsi" w:hAnsiTheme="majorHAnsi" w:cstheme="majorHAnsi"/>
          <w:szCs w:val="24"/>
        </w:rPr>
      </w:pPr>
      <w:r w:rsidRPr="00625231">
        <w:rPr>
          <w:rFonts w:asciiTheme="majorHAnsi" w:hAnsiTheme="majorHAnsi" w:cstheme="majorHAnsi"/>
          <w:szCs w:val="24"/>
        </w:rPr>
        <w:t>Faculty Senate</w:t>
      </w:r>
    </w:p>
    <w:p w14:paraId="11ADEEA9" w14:textId="590E3E44" w:rsidR="002867C8" w:rsidRPr="00625231" w:rsidRDefault="00A61EFF" w:rsidP="00625231">
      <w:pPr>
        <w:spacing w:after="0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Passed</w:t>
      </w:r>
      <w:r w:rsidR="00AB7436">
        <w:rPr>
          <w:rFonts w:asciiTheme="majorHAnsi" w:hAnsiTheme="majorHAnsi" w:cstheme="majorHAnsi"/>
          <w:b/>
          <w:szCs w:val="24"/>
        </w:rPr>
        <w:t xml:space="preserve"> </w:t>
      </w:r>
      <w:r w:rsidR="008213E5">
        <w:rPr>
          <w:rFonts w:asciiTheme="majorHAnsi" w:hAnsiTheme="majorHAnsi" w:cstheme="majorHAnsi"/>
          <w:b/>
          <w:szCs w:val="24"/>
        </w:rPr>
        <w:t xml:space="preserve">April </w:t>
      </w:r>
      <w:r w:rsidR="00AB7436">
        <w:rPr>
          <w:rFonts w:asciiTheme="majorHAnsi" w:hAnsiTheme="majorHAnsi" w:cstheme="majorHAnsi"/>
          <w:b/>
          <w:szCs w:val="24"/>
        </w:rPr>
        <w:t>4, 2022</w:t>
      </w:r>
    </w:p>
    <w:p w14:paraId="45AA8385" w14:textId="3984659A" w:rsidR="00625231" w:rsidRPr="00625231" w:rsidRDefault="00625231" w:rsidP="00625231">
      <w:pPr>
        <w:spacing w:after="0"/>
        <w:jc w:val="center"/>
        <w:rPr>
          <w:rFonts w:asciiTheme="majorHAnsi" w:hAnsiTheme="majorHAnsi" w:cstheme="majorHAnsi"/>
          <w:b/>
          <w:szCs w:val="24"/>
        </w:rPr>
      </w:pPr>
    </w:p>
    <w:p w14:paraId="273A8815" w14:textId="77777777" w:rsidR="00625231" w:rsidRPr="00625231" w:rsidRDefault="00625231" w:rsidP="00625231">
      <w:pPr>
        <w:spacing w:after="0"/>
        <w:jc w:val="center"/>
        <w:rPr>
          <w:rFonts w:asciiTheme="majorHAnsi" w:hAnsiTheme="majorHAnsi" w:cstheme="majorHAnsi"/>
          <w:b/>
          <w:szCs w:val="24"/>
        </w:rPr>
      </w:pPr>
    </w:p>
    <w:p w14:paraId="38D8F82D" w14:textId="720A7512" w:rsidR="00DA061C" w:rsidRPr="00625231" w:rsidRDefault="00DA061C" w:rsidP="00016161">
      <w:pPr>
        <w:spacing w:after="0"/>
        <w:rPr>
          <w:rFonts w:asciiTheme="majorHAnsi" w:hAnsiTheme="majorHAnsi" w:cstheme="majorHAnsi"/>
          <w:iCs/>
          <w:szCs w:val="24"/>
        </w:rPr>
      </w:pPr>
      <w:r w:rsidRPr="00625231">
        <w:rPr>
          <w:rFonts w:asciiTheme="majorHAnsi" w:hAnsiTheme="majorHAnsi" w:cstheme="majorHAnsi"/>
          <w:b/>
          <w:iCs/>
          <w:szCs w:val="24"/>
        </w:rPr>
        <w:t>Whereas</w:t>
      </w:r>
      <w:r w:rsidRPr="00625231">
        <w:rPr>
          <w:rFonts w:asciiTheme="majorHAnsi" w:hAnsiTheme="majorHAnsi" w:cstheme="majorHAnsi"/>
          <w:iCs/>
          <w:szCs w:val="24"/>
        </w:rPr>
        <w:t xml:space="preserve"> </w:t>
      </w:r>
      <w:r w:rsidR="00411E43" w:rsidRPr="00625231">
        <w:rPr>
          <w:rFonts w:asciiTheme="majorHAnsi" w:hAnsiTheme="majorHAnsi" w:cstheme="majorHAnsi"/>
          <w:iCs/>
          <w:szCs w:val="24"/>
        </w:rPr>
        <w:t xml:space="preserve">the </w:t>
      </w:r>
      <w:r w:rsidRPr="00625231">
        <w:rPr>
          <w:rFonts w:asciiTheme="majorHAnsi" w:hAnsiTheme="majorHAnsi" w:cstheme="majorHAnsi"/>
          <w:iCs/>
          <w:szCs w:val="24"/>
        </w:rPr>
        <w:t>Ohio University Faculty Handbook</w:t>
      </w:r>
      <w:r w:rsidR="00DF4ED3" w:rsidRPr="00625231">
        <w:rPr>
          <w:rFonts w:asciiTheme="majorHAnsi" w:hAnsiTheme="majorHAnsi" w:cstheme="majorHAnsi"/>
          <w:iCs/>
          <w:szCs w:val="24"/>
        </w:rPr>
        <w:t xml:space="preserve"> (hereafter “Handbook”)</w:t>
      </w:r>
      <w:r w:rsidRPr="00625231">
        <w:rPr>
          <w:rFonts w:asciiTheme="majorHAnsi" w:hAnsiTheme="majorHAnsi" w:cstheme="majorHAnsi"/>
          <w:iCs/>
          <w:szCs w:val="24"/>
        </w:rPr>
        <w:t xml:space="preserve"> should </w:t>
      </w:r>
      <w:r w:rsidR="00195ECD" w:rsidRPr="00625231">
        <w:rPr>
          <w:rFonts w:asciiTheme="majorHAnsi" w:hAnsiTheme="majorHAnsi" w:cstheme="majorHAnsi"/>
          <w:iCs/>
          <w:szCs w:val="24"/>
        </w:rPr>
        <w:t>have</w:t>
      </w:r>
      <w:r w:rsidRPr="00625231">
        <w:rPr>
          <w:rFonts w:asciiTheme="majorHAnsi" w:hAnsiTheme="majorHAnsi" w:cstheme="majorHAnsi"/>
          <w:iCs/>
          <w:szCs w:val="24"/>
        </w:rPr>
        <w:t xml:space="preserve"> clear </w:t>
      </w:r>
      <w:r w:rsidR="00411E43" w:rsidRPr="00625231">
        <w:rPr>
          <w:rFonts w:asciiTheme="majorHAnsi" w:hAnsiTheme="majorHAnsi" w:cstheme="majorHAnsi"/>
          <w:iCs/>
          <w:szCs w:val="24"/>
        </w:rPr>
        <w:t>d</w:t>
      </w:r>
      <w:r w:rsidRPr="00625231">
        <w:rPr>
          <w:rFonts w:asciiTheme="majorHAnsi" w:hAnsiTheme="majorHAnsi" w:cstheme="majorHAnsi"/>
          <w:iCs/>
          <w:szCs w:val="24"/>
        </w:rPr>
        <w:t>efinitions</w:t>
      </w:r>
      <w:r w:rsidR="00195ECD" w:rsidRPr="00625231">
        <w:rPr>
          <w:rFonts w:asciiTheme="majorHAnsi" w:hAnsiTheme="majorHAnsi" w:cstheme="majorHAnsi"/>
          <w:iCs/>
          <w:szCs w:val="24"/>
        </w:rPr>
        <w:t xml:space="preserve"> for </w:t>
      </w:r>
      <w:r w:rsidR="00E946E9" w:rsidRPr="00625231">
        <w:rPr>
          <w:rFonts w:asciiTheme="majorHAnsi" w:hAnsiTheme="majorHAnsi" w:cstheme="majorHAnsi"/>
          <w:iCs/>
          <w:szCs w:val="24"/>
        </w:rPr>
        <w:t>important</w:t>
      </w:r>
      <w:r w:rsidR="00EE1DB0" w:rsidRPr="00625231">
        <w:rPr>
          <w:rFonts w:asciiTheme="majorHAnsi" w:hAnsiTheme="majorHAnsi" w:cstheme="majorHAnsi"/>
          <w:iCs/>
          <w:szCs w:val="24"/>
        </w:rPr>
        <w:t xml:space="preserve"> keywords</w:t>
      </w:r>
      <w:r w:rsidRPr="00625231">
        <w:rPr>
          <w:rFonts w:asciiTheme="majorHAnsi" w:hAnsiTheme="majorHAnsi" w:cstheme="majorHAnsi"/>
          <w:iCs/>
          <w:szCs w:val="24"/>
        </w:rPr>
        <w:t>,</w:t>
      </w:r>
    </w:p>
    <w:p w14:paraId="327CFB63" w14:textId="3F078958" w:rsidR="00DA061C" w:rsidRPr="00625231" w:rsidRDefault="00DA061C" w:rsidP="00016161">
      <w:pPr>
        <w:spacing w:after="0"/>
        <w:rPr>
          <w:rFonts w:asciiTheme="majorHAnsi" w:hAnsiTheme="majorHAnsi" w:cstheme="majorHAnsi"/>
          <w:b/>
          <w:iCs/>
          <w:szCs w:val="24"/>
        </w:rPr>
      </w:pPr>
    </w:p>
    <w:p w14:paraId="1F2CC7FE" w14:textId="3AB03631" w:rsidR="00CD3EEA" w:rsidRPr="00625231" w:rsidRDefault="00CD3EEA" w:rsidP="00016161">
      <w:pPr>
        <w:spacing w:after="0"/>
        <w:rPr>
          <w:rFonts w:asciiTheme="majorHAnsi" w:hAnsiTheme="majorHAnsi" w:cstheme="majorHAnsi"/>
          <w:b/>
          <w:iCs/>
          <w:szCs w:val="24"/>
        </w:rPr>
      </w:pPr>
      <w:r w:rsidRPr="00625231">
        <w:rPr>
          <w:rFonts w:asciiTheme="majorHAnsi" w:hAnsiTheme="majorHAnsi" w:cstheme="majorHAnsi"/>
          <w:b/>
          <w:iCs/>
          <w:szCs w:val="24"/>
        </w:rPr>
        <w:t>Whereas</w:t>
      </w:r>
      <w:r w:rsidRPr="00625231">
        <w:rPr>
          <w:rFonts w:asciiTheme="majorHAnsi" w:hAnsiTheme="majorHAnsi" w:cstheme="majorHAnsi"/>
          <w:iCs/>
          <w:szCs w:val="24"/>
        </w:rPr>
        <w:t xml:space="preserve"> the Handbook </w:t>
      </w:r>
      <w:r w:rsidR="00195ECD" w:rsidRPr="00625231">
        <w:rPr>
          <w:rFonts w:asciiTheme="majorHAnsi" w:hAnsiTheme="majorHAnsi" w:cstheme="majorHAnsi"/>
          <w:iCs/>
          <w:szCs w:val="24"/>
        </w:rPr>
        <w:t xml:space="preserve">uses the </w:t>
      </w:r>
      <w:r w:rsidR="00EE1DB0" w:rsidRPr="00625231">
        <w:rPr>
          <w:rFonts w:asciiTheme="majorHAnsi" w:hAnsiTheme="majorHAnsi" w:cstheme="majorHAnsi"/>
          <w:iCs/>
          <w:szCs w:val="24"/>
        </w:rPr>
        <w:t>keywords</w:t>
      </w:r>
      <w:r w:rsidRPr="00625231">
        <w:rPr>
          <w:rFonts w:asciiTheme="majorHAnsi" w:hAnsiTheme="majorHAnsi" w:cstheme="majorHAnsi"/>
          <w:iCs/>
          <w:szCs w:val="24"/>
        </w:rPr>
        <w:t xml:space="preserve"> “course” </w:t>
      </w:r>
      <w:r w:rsidR="00195ECD" w:rsidRPr="00625231">
        <w:rPr>
          <w:rFonts w:asciiTheme="majorHAnsi" w:hAnsiTheme="majorHAnsi" w:cstheme="majorHAnsi"/>
          <w:iCs/>
          <w:szCs w:val="24"/>
        </w:rPr>
        <w:t>and</w:t>
      </w:r>
      <w:r w:rsidRPr="00625231">
        <w:rPr>
          <w:rFonts w:asciiTheme="majorHAnsi" w:hAnsiTheme="majorHAnsi" w:cstheme="majorHAnsi"/>
          <w:iCs/>
          <w:szCs w:val="24"/>
        </w:rPr>
        <w:t xml:space="preserve"> “class” </w:t>
      </w:r>
      <w:r w:rsidR="001E446D" w:rsidRPr="00625231">
        <w:rPr>
          <w:rFonts w:asciiTheme="majorHAnsi" w:hAnsiTheme="majorHAnsi" w:cstheme="majorHAnsi"/>
          <w:iCs/>
          <w:szCs w:val="24"/>
        </w:rPr>
        <w:t>in the</w:t>
      </w:r>
      <w:r w:rsidRPr="00625231">
        <w:rPr>
          <w:rFonts w:asciiTheme="majorHAnsi" w:hAnsiTheme="majorHAnsi" w:cstheme="majorHAnsi"/>
          <w:iCs/>
          <w:szCs w:val="24"/>
        </w:rPr>
        <w:t xml:space="preserve"> academic </w:t>
      </w:r>
      <w:r w:rsidR="001E446D" w:rsidRPr="00625231">
        <w:rPr>
          <w:rFonts w:asciiTheme="majorHAnsi" w:hAnsiTheme="majorHAnsi" w:cstheme="majorHAnsi"/>
          <w:iCs/>
          <w:szCs w:val="24"/>
        </w:rPr>
        <w:t>context</w:t>
      </w:r>
      <w:r w:rsidR="00195ECD" w:rsidRPr="00625231">
        <w:rPr>
          <w:rFonts w:asciiTheme="majorHAnsi" w:hAnsiTheme="majorHAnsi" w:cstheme="majorHAnsi"/>
          <w:iCs/>
          <w:szCs w:val="24"/>
        </w:rPr>
        <w:t xml:space="preserve"> multiple times in various </w:t>
      </w:r>
      <w:r w:rsidR="001823E7" w:rsidRPr="00625231">
        <w:rPr>
          <w:rFonts w:asciiTheme="majorHAnsi" w:hAnsiTheme="majorHAnsi" w:cstheme="majorHAnsi"/>
          <w:iCs/>
          <w:szCs w:val="24"/>
        </w:rPr>
        <w:t xml:space="preserve">sections and </w:t>
      </w:r>
      <w:r w:rsidR="00195ECD" w:rsidRPr="00625231">
        <w:rPr>
          <w:rFonts w:asciiTheme="majorHAnsi" w:hAnsiTheme="majorHAnsi" w:cstheme="majorHAnsi"/>
          <w:iCs/>
          <w:szCs w:val="24"/>
        </w:rPr>
        <w:t>contexts</w:t>
      </w:r>
      <w:r w:rsidRPr="00625231">
        <w:rPr>
          <w:rFonts w:asciiTheme="majorHAnsi" w:hAnsiTheme="majorHAnsi" w:cstheme="majorHAnsi"/>
          <w:iCs/>
          <w:szCs w:val="24"/>
        </w:rPr>
        <w:t>,</w:t>
      </w:r>
    </w:p>
    <w:p w14:paraId="091B1C5B" w14:textId="224F4A6F" w:rsidR="00CD3EEA" w:rsidRPr="00625231" w:rsidRDefault="00CD3EEA" w:rsidP="00016161">
      <w:pPr>
        <w:spacing w:after="0"/>
        <w:rPr>
          <w:rFonts w:asciiTheme="majorHAnsi" w:hAnsiTheme="majorHAnsi" w:cstheme="majorHAnsi"/>
          <w:b/>
          <w:iCs/>
          <w:szCs w:val="24"/>
        </w:rPr>
      </w:pPr>
    </w:p>
    <w:p w14:paraId="19294EEC" w14:textId="2D239C2C" w:rsidR="00DA3E13" w:rsidRPr="00625231" w:rsidRDefault="00DA3E13" w:rsidP="00DA3E13">
      <w:pPr>
        <w:spacing w:after="0"/>
        <w:rPr>
          <w:rFonts w:asciiTheme="majorHAnsi" w:hAnsiTheme="majorHAnsi" w:cstheme="majorHAnsi"/>
          <w:iCs/>
          <w:szCs w:val="24"/>
        </w:rPr>
      </w:pPr>
      <w:r w:rsidRPr="00625231">
        <w:rPr>
          <w:rFonts w:asciiTheme="majorHAnsi" w:hAnsiTheme="majorHAnsi" w:cstheme="majorHAnsi"/>
          <w:b/>
          <w:bCs/>
          <w:iCs/>
          <w:szCs w:val="24"/>
        </w:rPr>
        <w:t>Whereas</w:t>
      </w:r>
      <w:r w:rsidRPr="00625231">
        <w:rPr>
          <w:rFonts w:asciiTheme="majorHAnsi" w:hAnsiTheme="majorHAnsi" w:cstheme="majorHAnsi"/>
          <w:iCs/>
          <w:szCs w:val="24"/>
        </w:rPr>
        <w:t xml:space="preserve"> the colloquial interchanging of “course” and “class” occurs regularly in the discussion of</w:t>
      </w:r>
      <w:r w:rsidR="00577859" w:rsidRPr="00625231">
        <w:rPr>
          <w:rFonts w:asciiTheme="majorHAnsi" w:hAnsiTheme="majorHAnsi" w:cstheme="majorHAnsi"/>
          <w:iCs/>
          <w:szCs w:val="24"/>
        </w:rPr>
        <w:t xml:space="preserve"> Ohio </w:t>
      </w:r>
      <w:r w:rsidRPr="00625231">
        <w:rPr>
          <w:rFonts w:asciiTheme="majorHAnsi" w:hAnsiTheme="majorHAnsi" w:cstheme="majorHAnsi"/>
          <w:iCs/>
          <w:szCs w:val="24"/>
        </w:rPr>
        <w:t>University academic operations,</w:t>
      </w:r>
    </w:p>
    <w:p w14:paraId="0B7B6DA0" w14:textId="77777777" w:rsidR="00DA3E13" w:rsidRPr="00625231" w:rsidRDefault="00DA3E13" w:rsidP="00016161">
      <w:pPr>
        <w:spacing w:after="0"/>
        <w:rPr>
          <w:rFonts w:asciiTheme="majorHAnsi" w:hAnsiTheme="majorHAnsi" w:cstheme="majorHAnsi"/>
          <w:b/>
          <w:iCs/>
          <w:szCs w:val="24"/>
        </w:rPr>
      </w:pPr>
    </w:p>
    <w:p w14:paraId="49481F5E" w14:textId="5C071755" w:rsidR="00016161" w:rsidRPr="00625231" w:rsidRDefault="00016161" w:rsidP="00016161">
      <w:pPr>
        <w:spacing w:after="0"/>
        <w:rPr>
          <w:rFonts w:asciiTheme="majorHAnsi" w:hAnsiTheme="majorHAnsi" w:cstheme="majorHAnsi"/>
          <w:iCs/>
          <w:szCs w:val="24"/>
        </w:rPr>
      </w:pPr>
      <w:r w:rsidRPr="00625231">
        <w:rPr>
          <w:rFonts w:asciiTheme="majorHAnsi" w:hAnsiTheme="majorHAnsi" w:cstheme="majorHAnsi"/>
          <w:b/>
          <w:iCs/>
          <w:szCs w:val="24"/>
        </w:rPr>
        <w:t>Whereas</w:t>
      </w:r>
      <w:r w:rsidRPr="00625231">
        <w:rPr>
          <w:rFonts w:asciiTheme="majorHAnsi" w:hAnsiTheme="majorHAnsi" w:cstheme="majorHAnsi"/>
          <w:iCs/>
          <w:szCs w:val="24"/>
        </w:rPr>
        <w:t xml:space="preserve"> </w:t>
      </w:r>
      <w:r w:rsidR="00E5102C" w:rsidRPr="00625231">
        <w:rPr>
          <w:rFonts w:asciiTheme="majorHAnsi" w:hAnsiTheme="majorHAnsi" w:cstheme="majorHAnsi"/>
          <w:iCs/>
          <w:szCs w:val="24"/>
        </w:rPr>
        <w:t xml:space="preserve">the Handbook </w:t>
      </w:r>
      <w:r w:rsidR="000F4D4F" w:rsidRPr="00625231">
        <w:rPr>
          <w:rFonts w:asciiTheme="majorHAnsi" w:hAnsiTheme="majorHAnsi" w:cstheme="majorHAnsi"/>
          <w:iCs/>
          <w:szCs w:val="24"/>
        </w:rPr>
        <w:t xml:space="preserve">does not formally define “course” or “class” </w:t>
      </w:r>
      <w:r w:rsidR="00EA1CE1" w:rsidRPr="00625231">
        <w:rPr>
          <w:rFonts w:asciiTheme="majorHAnsi" w:hAnsiTheme="majorHAnsi" w:cstheme="majorHAnsi"/>
          <w:iCs/>
          <w:szCs w:val="24"/>
        </w:rPr>
        <w:t>with respect to their</w:t>
      </w:r>
      <w:r w:rsidR="003C7FC4" w:rsidRPr="00625231">
        <w:rPr>
          <w:rFonts w:asciiTheme="majorHAnsi" w:hAnsiTheme="majorHAnsi" w:cstheme="majorHAnsi"/>
          <w:iCs/>
          <w:szCs w:val="24"/>
        </w:rPr>
        <w:t xml:space="preserve"> use in</w:t>
      </w:r>
      <w:r w:rsidR="00577859" w:rsidRPr="00625231">
        <w:rPr>
          <w:rFonts w:asciiTheme="majorHAnsi" w:hAnsiTheme="majorHAnsi" w:cstheme="majorHAnsi"/>
          <w:iCs/>
          <w:szCs w:val="24"/>
        </w:rPr>
        <w:t xml:space="preserve"> Ohio </w:t>
      </w:r>
      <w:r w:rsidR="003C7FC4" w:rsidRPr="00625231">
        <w:rPr>
          <w:rFonts w:asciiTheme="majorHAnsi" w:hAnsiTheme="majorHAnsi" w:cstheme="majorHAnsi"/>
          <w:iCs/>
          <w:szCs w:val="24"/>
        </w:rPr>
        <w:t>University academic operations</w:t>
      </w:r>
      <w:r w:rsidRPr="00625231">
        <w:rPr>
          <w:rFonts w:asciiTheme="majorHAnsi" w:hAnsiTheme="majorHAnsi" w:cstheme="majorHAnsi"/>
          <w:iCs/>
          <w:szCs w:val="24"/>
        </w:rPr>
        <w:t>,</w:t>
      </w:r>
    </w:p>
    <w:p w14:paraId="1FE499B9" w14:textId="6B74968F" w:rsidR="00414EC2" w:rsidRPr="00625231" w:rsidRDefault="00414EC2" w:rsidP="00016161">
      <w:pPr>
        <w:spacing w:after="0"/>
        <w:rPr>
          <w:rFonts w:asciiTheme="majorHAnsi" w:hAnsiTheme="majorHAnsi" w:cstheme="majorHAnsi"/>
          <w:iCs/>
          <w:szCs w:val="24"/>
        </w:rPr>
      </w:pPr>
    </w:p>
    <w:p w14:paraId="72C0CE41" w14:textId="06C04F24" w:rsidR="00414EC2" w:rsidRPr="00625231" w:rsidRDefault="00414EC2" w:rsidP="00016161">
      <w:pPr>
        <w:spacing w:after="0"/>
        <w:rPr>
          <w:rFonts w:asciiTheme="majorHAnsi" w:hAnsiTheme="majorHAnsi" w:cstheme="majorHAnsi"/>
          <w:iCs/>
          <w:szCs w:val="24"/>
        </w:rPr>
      </w:pPr>
      <w:r w:rsidRPr="00625231">
        <w:rPr>
          <w:rFonts w:asciiTheme="majorHAnsi" w:hAnsiTheme="majorHAnsi" w:cstheme="majorHAnsi"/>
          <w:b/>
          <w:bCs/>
          <w:iCs/>
          <w:szCs w:val="24"/>
        </w:rPr>
        <w:t>Whereas</w:t>
      </w:r>
      <w:r w:rsidRPr="00625231">
        <w:rPr>
          <w:rFonts w:asciiTheme="majorHAnsi" w:hAnsiTheme="majorHAnsi" w:cstheme="majorHAnsi"/>
          <w:iCs/>
          <w:szCs w:val="24"/>
        </w:rPr>
        <w:t xml:space="preserve"> </w:t>
      </w:r>
      <w:r w:rsidR="00B22A72" w:rsidRPr="00625231">
        <w:rPr>
          <w:rFonts w:asciiTheme="majorHAnsi" w:hAnsiTheme="majorHAnsi" w:cstheme="majorHAnsi"/>
          <w:iCs/>
          <w:szCs w:val="24"/>
        </w:rPr>
        <w:t>misunderstand</w:t>
      </w:r>
      <w:r w:rsidR="00DA3E13" w:rsidRPr="00625231">
        <w:rPr>
          <w:rFonts w:asciiTheme="majorHAnsi" w:hAnsiTheme="majorHAnsi" w:cstheme="majorHAnsi"/>
          <w:iCs/>
          <w:szCs w:val="24"/>
        </w:rPr>
        <w:t>ing</w:t>
      </w:r>
      <w:r w:rsidR="00B22A72" w:rsidRPr="00625231">
        <w:rPr>
          <w:rFonts w:asciiTheme="majorHAnsi" w:hAnsiTheme="majorHAnsi" w:cstheme="majorHAnsi"/>
          <w:iCs/>
          <w:szCs w:val="24"/>
        </w:rPr>
        <w:t xml:space="preserve"> occur</w:t>
      </w:r>
      <w:r w:rsidR="00DA3E13" w:rsidRPr="00625231">
        <w:rPr>
          <w:rFonts w:asciiTheme="majorHAnsi" w:hAnsiTheme="majorHAnsi" w:cstheme="majorHAnsi"/>
          <w:iCs/>
          <w:szCs w:val="24"/>
        </w:rPr>
        <w:t xml:space="preserve">s when colloquial </w:t>
      </w:r>
      <w:r w:rsidR="007A38DC" w:rsidRPr="00625231">
        <w:rPr>
          <w:rFonts w:asciiTheme="majorHAnsi" w:hAnsiTheme="majorHAnsi" w:cstheme="majorHAnsi"/>
          <w:iCs/>
          <w:szCs w:val="24"/>
        </w:rPr>
        <w:t xml:space="preserve">usage of words </w:t>
      </w:r>
      <w:r w:rsidR="00DA3E13" w:rsidRPr="00625231">
        <w:rPr>
          <w:rFonts w:asciiTheme="majorHAnsi" w:hAnsiTheme="majorHAnsi" w:cstheme="majorHAnsi"/>
          <w:iCs/>
          <w:szCs w:val="24"/>
        </w:rPr>
        <w:t>comes into con</w:t>
      </w:r>
      <w:r w:rsidR="007A38DC" w:rsidRPr="00625231">
        <w:rPr>
          <w:rFonts w:asciiTheme="majorHAnsi" w:hAnsiTheme="majorHAnsi" w:cstheme="majorHAnsi"/>
          <w:iCs/>
          <w:szCs w:val="24"/>
        </w:rPr>
        <w:t xml:space="preserve">flict with </w:t>
      </w:r>
      <w:r w:rsidR="007D2DB0" w:rsidRPr="00625231">
        <w:rPr>
          <w:rFonts w:asciiTheme="majorHAnsi" w:hAnsiTheme="majorHAnsi" w:cstheme="majorHAnsi"/>
          <w:iCs/>
          <w:szCs w:val="24"/>
        </w:rPr>
        <w:t xml:space="preserve">the </w:t>
      </w:r>
      <w:r w:rsidR="007A38DC" w:rsidRPr="00625231">
        <w:rPr>
          <w:rFonts w:asciiTheme="majorHAnsi" w:hAnsiTheme="majorHAnsi" w:cstheme="majorHAnsi"/>
          <w:iCs/>
          <w:szCs w:val="24"/>
        </w:rPr>
        <w:t>Handbook</w:t>
      </w:r>
      <w:r w:rsidR="007D2DB0" w:rsidRPr="00625231">
        <w:rPr>
          <w:rFonts w:asciiTheme="majorHAnsi" w:hAnsiTheme="majorHAnsi" w:cstheme="majorHAnsi"/>
          <w:iCs/>
          <w:szCs w:val="24"/>
        </w:rPr>
        <w:t>’s</w:t>
      </w:r>
      <w:r w:rsidR="00E85E15" w:rsidRPr="00625231">
        <w:rPr>
          <w:rFonts w:asciiTheme="majorHAnsi" w:hAnsiTheme="majorHAnsi" w:cstheme="majorHAnsi"/>
          <w:iCs/>
          <w:szCs w:val="24"/>
        </w:rPr>
        <w:t xml:space="preserve"> usage</w:t>
      </w:r>
      <w:r w:rsidR="00525082" w:rsidRPr="00625231">
        <w:rPr>
          <w:rFonts w:asciiTheme="majorHAnsi" w:hAnsiTheme="majorHAnsi" w:cstheme="majorHAnsi"/>
          <w:iCs/>
          <w:szCs w:val="24"/>
        </w:rPr>
        <w:t xml:space="preserve"> of words</w:t>
      </w:r>
      <w:r w:rsidR="007A38DC" w:rsidRPr="00625231">
        <w:rPr>
          <w:rFonts w:asciiTheme="majorHAnsi" w:hAnsiTheme="majorHAnsi" w:cstheme="majorHAnsi"/>
          <w:iCs/>
          <w:szCs w:val="24"/>
        </w:rPr>
        <w:t>,</w:t>
      </w:r>
      <w:r w:rsidR="00DA3E13" w:rsidRPr="00625231">
        <w:rPr>
          <w:rFonts w:asciiTheme="majorHAnsi" w:hAnsiTheme="majorHAnsi" w:cstheme="majorHAnsi"/>
          <w:iCs/>
          <w:szCs w:val="24"/>
        </w:rPr>
        <w:t xml:space="preserve"> </w:t>
      </w:r>
      <w:r w:rsidR="00B22A72" w:rsidRPr="00625231">
        <w:rPr>
          <w:rFonts w:asciiTheme="majorHAnsi" w:hAnsiTheme="majorHAnsi" w:cstheme="majorHAnsi"/>
          <w:iCs/>
          <w:szCs w:val="24"/>
        </w:rPr>
        <w:t xml:space="preserve"> </w:t>
      </w:r>
      <w:r w:rsidRPr="00625231">
        <w:rPr>
          <w:rFonts w:asciiTheme="majorHAnsi" w:hAnsiTheme="majorHAnsi" w:cstheme="majorHAnsi"/>
          <w:iCs/>
          <w:szCs w:val="24"/>
        </w:rPr>
        <w:t xml:space="preserve"> </w:t>
      </w:r>
    </w:p>
    <w:p w14:paraId="09CF6822" w14:textId="77777777" w:rsidR="00D71449" w:rsidRPr="00625231" w:rsidRDefault="00D71449" w:rsidP="00D71449">
      <w:pPr>
        <w:pStyle w:val="ListParagraph"/>
        <w:spacing w:after="0"/>
        <w:ind w:left="0"/>
        <w:rPr>
          <w:rFonts w:asciiTheme="majorHAnsi" w:hAnsiTheme="majorHAnsi" w:cstheme="majorHAnsi"/>
          <w:b/>
          <w:iCs/>
          <w:szCs w:val="24"/>
        </w:rPr>
      </w:pPr>
    </w:p>
    <w:p w14:paraId="11ADEEAD" w14:textId="289CCDB1" w:rsidR="002E3CDA" w:rsidRPr="00625231" w:rsidRDefault="005975A9" w:rsidP="00D71449">
      <w:pPr>
        <w:pStyle w:val="ListParagraph"/>
        <w:spacing w:after="0"/>
        <w:ind w:left="0"/>
        <w:rPr>
          <w:rFonts w:asciiTheme="majorHAnsi" w:hAnsiTheme="majorHAnsi" w:cstheme="majorHAnsi"/>
          <w:iCs/>
          <w:szCs w:val="24"/>
        </w:rPr>
      </w:pPr>
      <w:r w:rsidRPr="00625231">
        <w:rPr>
          <w:rFonts w:asciiTheme="majorHAnsi" w:hAnsiTheme="majorHAnsi" w:cstheme="majorHAnsi"/>
          <w:b/>
          <w:iCs/>
          <w:szCs w:val="24"/>
        </w:rPr>
        <w:t>Be it resolved</w:t>
      </w:r>
      <w:r w:rsidRPr="00625231">
        <w:rPr>
          <w:rFonts w:asciiTheme="majorHAnsi" w:hAnsiTheme="majorHAnsi" w:cstheme="majorHAnsi"/>
          <w:iCs/>
          <w:szCs w:val="24"/>
        </w:rPr>
        <w:t xml:space="preserve"> that the Handbook</w:t>
      </w:r>
      <w:r w:rsidR="00D972E9" w:rsidRPr="00625231">
        <w:rPr>
          <w:rFonts w:asciiTheme="majorHAnsi" w:hAnsiTheme="majorHAnsi" w:cstheme="majorHAnsi"/>
          <w:iCs/>
          <w:szCs w:val="24"/>
        </w:rPr>
        <w:t xml:space="preserve"> be amended as follows:</w:t>
      </w:r>
    </w:p>
    <w:p w14:paraId="4BF0E7AB" w14:textId="6A836358" w:rsidR="00853561" w:rsidRPr="00625231" w:rsidRDefault="00853561" w:rsidP="00D71449">
      <w:pPr>
        <w:pStyle w:val="ListParagraph"/>
        <w:spacing w:after="0"/>
        <w:ind w:left="0"/>
        <w:rPr>
          <w:rFonts w:asciiTheme="majorHAnsi" w:hAnsiTheme="majorHAnsi" w:cstheme="majorHAnsi"/>
          <w:b/>
          <w:iCs/>
          <w:szCs w:val="24"/>
        </w:rPr>
      </w:pPr>
    </w:p>
    <w:p w14:paraId="4D872047" w14:textId="5993D472" w:rsidR="00853561" w:rsidRPr="00625231" w:rsidRDefault="00DD0D39" w:rsidP="00D71449">
      <w:pPr>
        <w:pStyle w:val="ListParagraph"/>
        <w:spacing w:after="0"/>
        <w:ind w:left="0"/>
        <w:rPr>
          <w:rFonts w:asciiTheme="majorHAnsi" w:hAnsiTheme="majorHAnsi" w:cstheme="majorHAnsi"/>
          <w:bCs/>
          <w:iCs/>
          <w:color w:val="C00000"/>
          <w:szCs w:val="24"/>
        </w:rPr>
      </w:pPr>
      <w:r w:rsidRPr="00625231">
        <w:rPr>
          <w:rFonts w:asciiTheme="majorHAnsi" w:hAnsiTheme="majorHAnsi" w:cstheme="majorHAnsi"/>
          <w:b/>
          <w:iCs/>
          <w:color w:val="C00000"/>
          <w:szCs w:val="24"/>
        </w:rPr>
        <w:t xml:space="preserve">XII - </w:t>
      </w:r>
      <w:r w:rsidR="004D4458" w:rsidRPr="00625231">
        <w:rPr>
          <w:rFonts w:asciiTheme="majorHAnsi" w:hAnsiTheme="majorHAnsi" w:cstheme="majorHAnsi"/>
          <w:b/>
          <w:iCs/>
          <w:color w:val="C00000"/>
          <w:szCs w:val="24"/>
        </w:rPr>
        <w:t xml:space="preserve">Appendix D </w:t>
      </w:r>
      <w:r w:rsidR="006277AD" w:rsidRPr="00625231">
        <w:rPr>
          <w:rFonts w:asciiTheme="majorHAnsi" w:hAnsiTheme="majorHAnsi" w:cstheme="majorHAnsi"/>
          <w:b/>
          <w:iCs/>
          <w:color w:val="C00000"/>
          <w:szCs w:val="24"/>
        </w:rPr>
        <w:t>– Keyword</w:t>
      </w:r>
      <w:r w:rsidR="007A203B" w:rsidRPr="00625231">
        <w:rPr>
          <w:rFonts w:asciiTheme="majorHAnsi" w:hAnsiTheme="majorHAnsi" w:cstheme="majorHAnsi"/>
          <w:b/>
          <w:iCs/>
          <w:color w:val="C00000"/>
          <w:szCs w:val="24"/>
        </w:rPr>
        <w:t xml:space="preserve"> Definitions</w:t>
      </w:r>
    </w:p>
    <w:p w14:paraId="79FDC6DC" w14:textId="04D652FD" w:rsidR="009208D2" w:rsidRPr="00625231" w:rsidRDefault="009208D2" w:rsidP="00D71449">
      <w:pPr>
        <w:pStyle w:val="ListParagraph"/>
        <w:spacing w:after="0"/>
        <w:ind w:left="0"/>
        <w:rPr>
          <w:rFonts w:asciiTheme="majorHAnsi" w:hAnsiTheme="majorHAnsi" w:cstheme="majorHAnsi"/>
          <w:bCs/>
          <w:iCs/>
          <w:color w:val="C00000"/>
          <w:szCs w:val="24"/>
        </w:rPr>
      </w:pPr>
    </w:p>
    <w:p w14:paraId="3876456C" w14:textId="29C59CED" w:rsidR="006F65E4" w:rsidRPr="00625231" w:rsidRDefault="004F6FA9" w:rsidP="00D71449">
      <w:pPr>
        <w:pStyle w:val="ListParagraph"/>
        <w:spacing w:after="0"/>
        <w:ind w:left="0"/>
        <w:rPr>
          <w:rFonts w:asciiTheme="majorHAnsi" w:hAnsiTheme="majorHAnsi" w:cstheme="majorHAnsi"/>
          <w:bCs/>
          <w:i/>
          <w:color w:val="C00000"/>
          <w:szCs w:val="24"/>
        </w:rPr>
      </w:pPr>
      <w:r w:rsidRPr="00625231">
        <w:rPr>
          <w:rFonts w:asciiTheme="majorHAnsi" w:hAnsiTheme="majorHAnsi" w:cstheme="majorHAnsi"/>
          <w:bCs/>
          <w:i/>
          <w:color w:val="C00000"/>
          <w:szCs w:val="24"/>
        </w:rPr>
        <w:t xml:space="preserve">This appendix contains the definitions for keywords </w:t>
      </w:r>
      <w:r w:rsidR="00572857" w:rsidRPr="00625231">
        <w:rPr>
          <w:rFonts w:asciiTheme="majorHAnsi" w:hAnsiTheme="majorHAnsi" w:cstheme="majorHAnsi"/>
          <w:bCs/>
          <w:i/>
          <w:color w:val="C00000"/>
          <w:szCs w:val="24"/>
        </w:rPr>
        <w:t>in the Handbook.</w:t>
      </w:r>
      <w:r w:rsidR="001A7A78" w:rsidRPr="00625231">
        <w:rPr>
          <w:rFonts w:asciiTheme="majorHAnsi" w:hAnsiTheme="majorHAnsi" w:cstheme="majorHAnsi"/>
          <w:bCs/>
          <w:i/>
          <w:color w:val="C00000"/>
          <w:szCs w:val="24"/>
        </w:rPr>
        <w:t xml:space="preserve"> </w:t>
      </w:r>
      <w:r w:rsidR="007D3533" w:rsidRPr="00625231">
        <w:rPr>
          <w:rFonts w:asciiTheme="majorHAnsi" w:hAnsiTheme="majorHAnsi" w:cstheme="majorHAnsi"/>
          <w:bCs/>
          <w:i/>
          <w:color w:val="C00000"/>
          <w:szCs w:val="24"/>
        </w:rPr>
        <w:t xml:space="preserve">A definition in this appendix does not preclude another section </w:t>
      </w:r>
      <w:r w:rsidR="00F03881" w:rsidRPr="00625231">
        <w:rPr>
          <w:rFonts w:asciiTheme="majorHAnsi" w:hAnsiTheme="majorHAnsi" w:cstheme="majorHAnsi"/>
          <w:bCs/>
          <w:i/>
          <w:color w:val="C00000"/>
          <w:szCs w:val="24"/>
        </w:rPr>
        <w:t>of the Handbook from modifying definition</w:t>
      </w:r>
      <w:r w:rsidR="0069365B" w:rsidRPr="00625231">
        <w:rPr>
          <w:rFonts w:asciiTheme="majorHAnsi" w:hAnsiTheme="majorHAnsi" w:cstheme="majorHAnsi"/>
          <w:bCs/>
          <w:i/>
          <w:color w:val="C00000"/>
          <w:szCs w:val="24"/>
        </w:rPr>
        <w:t>(</w:t>
      </w:r>
      <w:r w:rsidR="00642CAD" w:rsidRPr="00625231">
        <w:rPr>
          <w:rFonts w:asciiTheme="majorHAnsi" w:hAnsiTheme="majorHAnsi" w:cstheme="majorHAnsi"/>
          <w:bCs/>
          <w:i/>
          <w:color w:val="C00000"/>
          <w:szCs w:val="24"/>
        </w:rPr>
        <w:t>s</w:t>
      </w:r>
      <w:r w:rsidR="0069365B" w:rsidRPr="00625231">
        <w:rPr>
          <w:rFonts w:asciiTheme="majorHAnsi" w:hAnsiTheme="majorHAnsi" w:cstheme="majorHAnsi"/>
          <w:bCs/>
          <w:i/>
          <w:color w:val="C00000"/>
          <w:szCs w:val="24"/>
        </w:rPr>
        <w:t>)</w:t>
      </w:r>
      <w:r w:rsidR="00F03881" w:rsidRPr="00625231">
        <w:rPr>
          <w:rFonts w:asciiTheme="majorHAnsi" w:hAnsiTheme="majorHAnsi" w:cstheme="majorHAnsi"/>
          <w:bCs/>
          <w:i/>
          <w:color w:val="C00000"/>
          <w:szCs w:val="24"/>
        </w:rPr>
        <w:t xml:space="preserve"> for a specific purpose in that section or related sections.</w:t>
      </w:r>
      <w:r w:rsidR="009C54CA" w:rsidRPr="00625231">
        <w:rPr>
          <w:rFonts w:asciiTheme="majorHAnsi" w:hAnsiTheme="majorHAnsi" w:cstheme="majorHAnsi"/>
          <w:bCs/>
          <w:i/>
          <w:color w:val="C00000"/>
          <w:szCs w:val="24"/>
        </w:rPr>
        <w:t xml:space="preserve"> Consult the </w:t>
      </w:r>
      <w:r w:rsidR="00A61EFF">
        <w:rPr>
          <w:rFonts w:asciiTheme="majorHAnsi" w:hAnsiTheme="majorHAnsi" w:cstheme="majorHAnsi"/>
          <w:bCs/>
          <w:i/>
          <w:color w:val="C00000"/>
          <w:szCs w:val="24"/>
        </w:rPr>
        <w:t>relevant</w:t>
      </w:r>
      <w:r w:rsidR="009C54CA" w:rsidRPr="00625231">
        <w:rPr>
          <w:rFonts w:asciiTheme="majorHAnsi" w:hAnsiTheme="majorHAnsi" w:cstheme="majorHAnsi"/>
          <w:bCs/>
          <w:i/>
          <w:color w:val="C00000"/>
          <w:szCs w:val="24"/>
        </w:rPr>
        <w:t xml:space="preserve"> Committee </w:t>
      </w:r>
      <w:r w:rsidR="00754680" w:rsidRPr="00625231">
        <w:rPr>
          <w:rFonts w:asciiTheme="majorHAnsi" w:hAnsiTheme="majorHAnsi" w:cstheme="majorHAnsi"/>
          <w:bCs/>
          <w:i/>
          <w:color w:val="C00000"/>
          <w:szCs w:val="24"/>
        </w:rPr>
        <w:t>regarding any perceived or actual ambiguities</w:t>
      </w:r>
      <w:r w:rsidR="00F76BEB" w:rsidRPr="00625231">
        <w:rPr>
          <w:rFonts w:asciiTheme="majorHAnsi" w:hAnsiTheme="majorHAnsi" w:cstheme="majorHAnsi"/>
          <w:bCs/>
          <w:i/>
          <w:color w:val="C00000"/>
          <w:szCs w:val="24"/>
        </w:rPr>
        <w:t>,</w:t>
      </w:r>
      <w:r w:rsidR="00754680" w:rsidRPr="00625231">
        <w:rPr>
          <w:rFonts w:asciiTheme="majorHAnsi" w:hAnsiTheme="majorHAnsi" w:cstheme="majorHAnsi"/>
          <w:bCs/>
          <w:i/>
          <w:color w:val="C00000"/>
          <w:szCs w:val="24"/>
        </w:rPr>
        <w:t xml:space="preserve"> or conflicts</w:t>
      </w:r>
      <w:r w:rsidR="00F76BEB" w:rsidRPr="00625231">
        <w:rPr>
          <w:rFonts w:asciiTheme="majorHAnsi" w:hAnsiTheme="majorHAnsi" w:cstheme="majorHAnsi"/>
          <w:bCs/>
          <w:i/>
          <w:color w:val="C00000"/>
          <w:szCs w:val="24"/>
        </w:rPr>
        <w:t>,</w:t>
      </w:r>
      <w:r w:rsidR="00754680" w:rsidRPr="00625231">
        <w:rPr>
          <w:rFonts w:asciiTheme="majorHAnsi" w:hAnsiTheme="majorHAnsi" w:cstheme="majorHAnsi"/>
          <w:bCs/>
          <w:i/>
          <w:color w:val="C00000"/>
          <w:szCs w:val="24"/>
        </w:rPr>
        <w:t xml:space="preserve"> </w:t>
      </w:r>
      <w:r w:rsidR="005F3AB1" w:rsidRPr="00625231">
        <w:rPr>
          <w:rFonts w:asciiTheme="majorHAnsi" w:hAnsiTheme="majorHAnsi" w:cstheme="majorHAnsi"/>
          <w:bCs/>
          <w:i/>
          <w:color w:val="C00000"/>
          <w:szCs w:val="24"/>
        </w:rPr>
        <w:t>regarding</w:t>
      </w:r>
      <w:r w:rsidR="00754680" w:rsidRPr="00625231">
        <w:rPr>
          <w:rFonts w:asciiTheme="majorHAnsi" w:hAnsiTheme="majorHAnsi" w:cstheme="majorHAnsi"/>
          <w:bCs/>
          <w:i/>
          <w:color w:val="C00000"/>
          <w:szCs w:val="24"/>
        </w:rPr>
        <w:t xml:space="preserve"> keyword usage.</w:t>
      </w:r>
    </w:p>
    <w:p w14:paraId="63E78646" w14:textId="77777777" w:rsidR="006F65E4" w:rsidRPr="00625231" w:rsidRDefault="006F65E4" w:rsidP="00D71449">
      <w:pPr>
        <w:pStyle w:val="ListParagraph"/>
        <w:spacing w:after="0"/>
        <w:ind w:left="0"/>
        <w:rPr>
          <w:rFonts w:asciiTheme="majorHAnsi" w:hAnsiTheme="majorHAnsi" w:cstheme="majorHAnsi"/>
          <w:bCs/>
          <w:i/>
          <w:color w:val="C00000"/>
          <w:szCs w:val="24"/>
        </w:rPr>
      </w:pPr>
    </w:p>
    <w:p w14:paraId="259B9834" w14:textId="7B50883E" w:rsidR="003E3663" w:rsidRPr="00625231" w:rsidRDefault="003E3663" w:rsidP="00D71449">
      <w:pPr>
        <w:pStyle w:val="ListParagraph"/>
        <w:spacing w:after="0"/>
        <w:ind w:left="0"/>
        <w:rPr>
          <w:rFonts w:asciiTheme="majorHAnsi" w:hAnsiTheme="majorHAnsi" w:cstheme="majorHAnsi"/>
          <w:bCs/>
          <w:iCs/>
          <w:color w:val="C00000"/>
          <w:szCs w:val="24"/>
        </w:rPr>
      </w:pPr>
      <w:r w:rsidRPr="00625231">
        <w:rPr>
          <w:rFonts w:asciiTheme="majorHAnsi" w:hAnsiTheme="majorHAnsi" w:cstheme="majorHAnsi"/>
          <w:bCs/>
          <w:iCs/>
          <w:color w:val="C00000"/>
          <w:szCs w:val="24"/>
        </w:rPr>
        <w:t>Class. A “class” is an instance of a course</w:t>
      </w:r>
      <w:r w:rsidR="006073AE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</w:t>
      </w:r>
      <w:r w:rsidR="007277C3" w:rsidRPr="00625231">
        <w:rPr>
          <w:rFonts w:asciiTheme="majorHAnsi" w:hAnsiTheme="majorHAnsi" w:cstheme="majorHAnsi"/>
          <w:bCs/>
          <w:iCs/>
          <w:color w:val="C00000"/>
          <w:szCs w:val="24"/>
        </w:rPr>
        <w:t>defined</w:t>
      </w:r>
      <w:r w:rsidR="00095518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by a</w:t>
      </w:r>
      <w:r w:rsidR="00181213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class number from</w:t>
      </w:r>
      <w:r w:rsidR="007D75DD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the</w:t>
      </w:r>
      <w:r w:rsidR="003B28D5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University</w:t>
      </w:r>
      <w:r w:rsidR="006073AE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Registrar</w:t>
      </w:r>
      <w:r w:rsidR="00A2262D" w:rsidRPr="00625231">
        <w:rPr>
          <w:rFonts w:asciiTheme="majorHAnsi" w:hAnsiTheme="majorHAnsi" w:cstheme="majorHAnsi"/>
          <w:bCs/>
          <w:iCs/>
          <w:color w:val="C00000"/>
          <w:szCs w:val="24"/>
        </w:rPr>
        <w:t>.</w:t>
      </w:r>
    </w:p>
    <w:p w14:paraId="30CAA1EB" w14:textId="68B26FC9" w:rsidR="003E3663" w:rsidRPr="00625231" w:rsidRDefault="003E3663" w:rsidP="00D71449">
      <w:pPr>
        <w:pStyle w:val="ListParagraph"/>
        <w:spacing w:after="0"/>
        <w:ind w:left="0"/>
        <w:rPr>
          <w:rFonts w:asciiTheme="majorHAnsi" w:hAnsiTheme="majorHAnsi" w:cstheme="majorHAnsi"/>
          <w:bCs/>
          <w:iCs/>
          <w:color w:val="C00000"/>
          <w:szCs w:val="24"/>
        </w:rPr>
      </w:pPr>
    </w:p>
    <w:p w14:paraId="058C05D3" w14:textId="1B92E8D4" w:rsidR="00A7466C" w:rsidRPr="00625231" w:rsidRDefault="003E3663" w:rsidP="00D71449">
      <w:pPr>
        <w:pStyle w:val="ListParagraph"/>
        <w:spacing w:after="0"/>
        <w:ind w:left="0"/>
        <w:rPr>
          <w:rFonts w:asciiTheme="majorHAnsi" w:hAnsiTheme="majorHAnsi" w:cstheme="majorHAnsi"/>
          <w:bCs/>
          <w:iCs/>
          <w:color w:val="C00000"/>
          <w:szCs w:val="24"/>
        </w:rPr>
      </w:pPr>
      <w:r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Course. A “course” </w:t>
      </w:r>
      <w:r w:rsidR="00BE7426" w:rsidRPr="00625231">
        <w:rPr>
          <w:rFonts w:asciiTheme="majorHAnsi" w:hAnsiTheme="majorHAnsi" w:cstheme="majorHAnsi"/>
          <w:bCs/>
          <w:iCs/>
          <w:color w:val="C00000"/>
          <w:szCs w:val="24"/>
        </w:rPr>
        <w:t>is defined by</w:t>
      </w:r>
      <w:r w:rsidR="00087481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an</w:t>
      </w:r>
      <w:r w:rsidR="001B36A9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entry in an Ohio University Course Catalog</w:t>
      </w:r>
      <w:r w:rsidR="00A45801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with a </w:t>
      </w:r>
      <w:r w:rsidR="006C3363" w:rsidRPr="00625231">
        <w:rPr>
          <w:rFonts w:asciiTheme="majorHAnsi" w:hAnsiTheme="majorHAnsi" w:cstheme="majorHAnsi"/>
          <w:bCs/>
          <w:iCs/>
          <w:color w:val="C00000"/>
          <w:szCs w:val="24"/>
        </w:rPr>
        <w:t>course prefix (e.g., MATH) and a course code (e.g.,</w:t>
      </w:r>
      <w:r w:rsidR="00005043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</w:t>
      </w:r>
      <w:r w:rsidR="00321088" w:rsidRPr="00625231">
        <w:rPr>
          <w:rFonts w:asciiTheme="majorHAnsi" w:hAnsiTheme="majorHAnsi" w:cstheme="majorHAnsi"/>
          <w:bCs/>
          <w:iCs/>
          <w:color w:val="C00000"/>
          <w:szCs w:val="24"/>
        </w:rPr>
        <w:t>1200</w:t>
      </w:r>
      <w:r w:rsidR="00005043" w:rsidRPr="00625231">
        <w:rPr>
          <w:rFonts w:asciiTheme="majorHAnsi" w:hAnsiTheme="majorHAnsi" w:cstheme="majorHAnsi"/>
          <w:bCs/>
          <w:iCs/>
          <w:color w:val="C00000"/>
          <w:szCs w:val="24"/>
        </w:rPr>
        <w:t>)</w:t>
      </w:r>
      <w:r w:rsidR="00D84C8F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along with a descriptive name (e.g., “College Algebra”</w:t>
      </w:r>
      <w:r w:rsidR="00035DEB" w:rsidRPr="00625231">
        <w:rPr>
          <w:rFonts w:asciiTheme="majorHAnsi" w:hAnsiTheme="majorHAnsi" w:cstheme="majorHAnsi"/>
          <w:bCs/>
          <w:iCs/>
          <w:color w:val="C00000"/>
          <w:szCs w:val="24"/>
        </w:rPr>
        <w:t>)</w:t>
      </w:r>
      <w:r w:rsidR="007C3206" w:rsidRPr="00625231">
        <w:rPr>
          <w:rFonts w:asciiTheme="majorHAnsi" w:hAnsiTheme="majorHAnsi" w:cstheme="majorHAnsi"/>
          <w:bCs/>
          <w:iCs/>
          <w:color w:val="C00000"/>
          <w:szCs w:val="24"/>
        </w:rPr>
        <w:t>.</w:t>
      </w:r>
      <w:r w:rsidR="001B01F1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</w:t>
      </w:r>
    </w:p>
    <w:p w14:paraId="4BE21777" w14:textId="77777777" w:rsidR="003E3663" w:rsidRPr="00625231" w:rsidRDefault="003E3663" w:rsidP="00D71449">
      <w:pPr>
        <w:pStyle w:val="ListParagraph"/>
        <w:spacing w:after="0"/>
        <w:ind w:left="0"/>
        <w:rPr>
          <w:rFonts w:asciiTheme="majorHAnsi" w:hAnsiTheme="majorHAnsi" w:cstheme="majorHAnsi"/>
          <w:bCs/>
          <w:iCs/>
          <w:color w:val="C00000"/>
          <w:szCs w:val="24"/>
        </w:rPr>
      </w:pPr>
    </w:p>
    <w:p w14:paraId="2D3A6EBB" w14:textId="4F265113" w:rsidR="004F6FA9" w:rsidRPr="00625231" w:rsidRDefault="001A7A78" w:rsidP="00D71449">
      <w:pPr>
        <w:pStyle w:val="ListParagraph"/>
        <w:spacing w:after="0"/>
        <w:ind w:left="0"/>
        <w:rPr>
          <w:rFonts w:asciiTheme="majorHAnsi" w:hAnsiTheme="majorHAnsi" w:cstheme="majorHAnsi"/>
          <w:bCs/>
          <w:i/>
          <w:color w:val="C00000"/>
          <w:szCs w:val="24"/>
        </w:rPr>
      </w:pPr>
      <w:r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Keyword. A “keyword” is </w:t>
      </w:r>
      <w:r w:rsidR="00FB2532" w:rsidRPr="00625231">
        <w:rPr>
          <w:rFonts w:asciiTheme="majorHAnsi" w:hAnsiTheme="majorHAnsi" w:cstheme="majorHAnsi"/>
          <w:bCs/>
          <w:iCs/>
          <w:color w:val="C00000"/>
          <w:szCs w:val="24"/>
        </w:rPr>
        <w:t>word or phrase used the Handbook</w:t>
      </w:r>
      <w:r w:rsidR="007C621C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 that has a specific meaning in the context of Ohio University</w:t>
      </w:r>
      <w:r w:rsidR="007D3533" w:rsidRPr="00625231">
        <w:rPr>
          <w:rFonts w:asciiTheme="majorHAnsi" w:hAnsiTheme="majorHAnsi" w:cstheme="majorHAnsi"/>
          <w:bCs/>
          <w:iCs/>
          <w:color w:val="C00000"/>
          <w:szCs w:val="24"/>
        </w:rPr>
        <w:t xml:space="preserve">. </w:t>
      </w:r>
    </w:p>
    <w:bookmarkEnd w:id="0"/>
    <w:p w14:paraId="43626C65" w14:textId="72503DE4" w:rsidR="00194C9D" w:rsidRPr="00625231" w:rsidRDefault="00194C9D" w:rsidP="00B17C64">
      <w:pPr>
        <w:pStyle w:val="ListParagraph"/>
        <w:spacing w:after="0"/>
        <w:ind w:left="0"/>
        <w:rPr>
          <w:rFonts w:asciiTheme="majorHAnsi" w:hAnsiTheme="majorHAnsi" w:cstheme="majorHAnsi"/>
          <w:color w:val="FF0000"/>
          <w:szCs w:val="24"/>
        </w:rPr>
      </w:pPr>
    </w:p>
    <w:sectPr w:rsidR="00194C9D" w:rsidRPr="006252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B957" w14:textId="77777777" w:rsidR="00D21B50" w:rsidRDefault="00D21B50" w:rsidP="00906F14">
      <w:pPr>
        <w:spacing w:after="0"/>
      </w:pPr>
      <w:r>
        <w:separator/>
      </w:r>
    </w:p>
  </w:endnote>
  <w:endnote w:type="continuationSeparator" w:id="0">
    <w:p w14:paraId="7333C148" w14:textId="77777777" w:rsidR="00D21B50" w:rsidRDefault="00D21B50" w:rsidP="00906F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0A3" w14:textId="77777777" w:rsidR="00906F14" w:rsidRDefault="00906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DA72" w14:textId="77777777" w:rsidR="00906F14" w:rsidRDefault="00906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ADD5" w14:textId="77777777" w:rsidR="00906F14" w:rsidRDefault="0090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7318" w14:textId="77777777" w:rsidR="00D21B50" w:rsidRDefault="00D21B50" w:rsidP="00906F14">
      <w:pPr>
        <w:spacing w:after="0"/>
      </w:pPr>
      <w:r>
        <w:separator/>
      </w:r>
    </w:p>
  </w:footnote>
  <w:footnote w:type="continuationSeparator" w:id="0">
    <w:p w14:paraId="22F5F9FC" w14:textId="77777777" w:rsidR="00D21B50" w:rsidRDefault="00D21B50" w:rsidP="00906F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3866" w14:textId="77777777" w:rsidR="00906F14" w:rsidRDefault="00906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C7DD" w14:textId="6D7425D3" w:rsidR="00906F14" w:rsidRDefault="00906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FE83" w14:textId="77777777" w:rsidR="00906F14" w:rsidRDefault="00906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28A"/>
    <w:multiLevelType w:val="hybridMultilevel"/>
    <w:tmpl w:val="6BDAE892"/>
    <w:lvl w:ilvl="0" w:tplc="DCD6A6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13717"/>
    <w:multiLevelType w:val="hybridMultilevel"/>
    <w:tmpl w:val="4CC6B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D4C"/>
    <w:multiLevelType w:val="hybridMultilevel"/>
    <w:tmpl w:val="FD822B50"/>
    <w:lvl w:ilvl="0" w:tplc="BB960F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6DD"/>
    <w:multiLevelType w:val="multilevel"/>
    <w:tmpl w:val="F078D05E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ascii="Calibri" w:hAnsi="Calibri" w:hint="default"/>
        <w:b w:val="0"/>
        <w:i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ascii="Calibri" w:hAnsi="Calibri" w:hint="default"/>
        <w:b w:val="0"/>
        <w:i/>
        <w:sz w:val="22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Calibri" w:hAnsi="Calibri"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F1BE3"/>
    <w:multiLevelType w:val="hybridMultilevel"/>
    <w:tmpl w:val="25D6E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5346"/>
    <w:multiLevelType w:val="hybridMultilevel"/>
    <w:tmpl w:val="1436AECC"/>
    <w:lvl w:ilvl="0" w:tplc="9AB6A7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C53AE"/>
    <w:multiLevelType w:val="multilevel"/>
    <w:tmpl w:val="72C67210"/>
    <w:styleLink w:val="Handbook"/>
    <w:lvl w:ilvl="0">
      <w:start w:val="1"/>
      <w:numFmt w:val="none"/>
      <w:lvlText w:val="I."/>
      <w:lvlJc w:val="left"/>
      <w:pPr>
        <w:ind w:left="-32767" w:firstLine="32767"/>
      </w:pPr>
      <w:rPr>
        <w:rFonts w:ascii="Times New Roman" w:hAnsi="Times New Roman" w:hint="default"/>
        <w:b/>
        <w:sz w:val="24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E076A6"/>
    <w:multiLevelType w:val="hybridMultilevel"/>
    <w:tmpl w:val="39EED1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33C9"/>
    <w:multiLevelType w:val="hybridMultilevel"/>
    <w:tmpl w:val="A498C4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23EAA"/>
    <w:multiLevelType w:val="hybridMultilevel"/>
    <w:tmpl w:val="62305A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934F5"/>
    <w:multiLevelType w:val="hybridMultilevel"/>
    <w:tmpl w:val="C81EA1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370EF8"/>
    <w:multiLevelType w:val="hybridMultilevel"/>
    <w:tmpl w:val="DE9806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0104F"/>
    <w:multiLevelType w:val="hybridMultilevel"/>
    <w:tmpl w:val="C166F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7FD7"/>
    <w:multiLevelType w:val="hybridMultilevel"/>
    <w:tmpl w:val="4D9006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330A"/>
    <w:multiLevelType w:val="multilevel"/>
    <w:tmpl w:val="F0AC9F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35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Calibri" w:hAnsi="Calibri" w:hint="default"/>
        <w:b/>
        <w:i w:val="0"/>
        <w:sz w:val="22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  <w:b/>
        <w:i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b/>
        <w:i/>
      </w:rPr>
    </w:lvl>
  </w:abstractNum>
  <w:abstractNum w:abstractNumId="15" w15:restartNumberingAfterBreak="0">
    <w:nsid w:val="5C310981"/>
    <w:multiLevelType w:val="multilevel"/>
    <w:tmpl w:val="F0AC9F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35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Calibri" w:hAnsi="Calibri" w:hint="default"/>
        <w:b/>
        <w:i w:val="0"/>
        <w:sz w:val="22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  <w:b/>
        <w:i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b/>
        <w:i/>
      </w:rPr>
    </w:lvl>
  </w:abstractNum>
  <w:abstractNum w:abstractNumId="16" w15:restartNumberingAfterBreak="0">
    <w:nsid w:val="639A65CA"/>
    <w:multiLevelType w:val="multilevel"/>
    <w:tmpl w:val="DF88E898"/>
    <w:lvl w:ilvl="0">
      <w:start w:val="2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b/>
      </w:rPr>
    </w:lvl>
    <w:lvl w:ilvl="4">
      <w:start w:val="6"/>
      <w:numFmt w:val="lowerRoman"/>
      <w:lvlText w:val="%5"/>
      <w:lvlJc w:val="left"/>
      <w:pPr>
        <w:ind w:left="1800" w:hanging="360"/>
      </w:pPr>
      <w:rPr>
        <w:rFonts w:hint="default"/>
        <w:b/>
        <w:i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hAnsi="Calibri" w:hint="default"/>
        <w:b/>
        <w:i w:val="0"/>
        <w:sz w:val="22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Calibri" w:hAnsi="Calibri"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60E40E6"/>
    <w:multiLevelType w:val="multilevel"/>
    <w:tmpl w:val="0EE6F7C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Calibri" w:hAnsi="Calibri" w:hint="default"/>
        <w:b/>
        <w:i w:val="0"/>
        <w:sz w:val="22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  <w:b/>
        <w:i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b/>
        <w:i/>
      </w:rPr>
    </w:lvl>
  </w:abstractNum>
  <w:abstractNum w:abstractNumId="18" w15:restartNumberingAfterBreak="0">
    <w:nsid w:val="7E1C5CF7"/>
    <w:multiLevelType w:val="hybridMultilevel"/>
    <w:tmpl w:val="B8AC2F5E"/>
    <w:lvl w:ilvl="0" w:tplc="505A164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6834966">
    <w:abstractNumId w:val="15"/>
  </w:num>
  <w:num w:numId="2" w16cid:durableId="461508639">
    <w:abstractNumId w:val="0"/>
  </w:num>
  <w:num w:numId="3" w16cid:durableId="56785031">
    <w:abstractNumId w:val="6"/>
  </w:num>
  <w:num w:numId="4" w16cid:durableId="1546478973">
    <w:abstractNumId w:val="17"/>
  </w:num>
  <w:num w:numId="5" w16cid:durableId="842665130">
    <w:abstractNumId w:val="14"/>
  </w:num>
  <w:num w:numId="6" w16cid:durableId="1109740618">
    <w:abstractNumId w:val="16"/>
  </w:num>
  <w:num w:numId="7" w16cid:durableId="232276818">
    <w:abstractNumId w:val="11"/>
  </w:num>
  <w:num w:numId="8" w16cid:durableId="1281569162">
    <w:abstractNumId w:val="1"/>
  </w:num>
  <w:num w:numId="9" w16cid:durableId="569927667">
    <w:abstractNumId w:val="4"/>
  </w:num>
  <w:num w:numId="10" w16cid:durableId="1691564265">
    <w:abstractNumId w:val="12"/>
  </w:num>
  <w:num w:numId="11" w16cid:durableId="382825794">
    <w:abstractNumId w:val="9"/>
  </w:num>
  <w:num w:numId="12" w16cid:durableId="239869500">
    <w:abstractNumId w:val="3"/>
  </w:num>
  <w:num w:numId="13" w16cid:durableId="1097822337">
    <w:abstractNumId w:val="5"/>
  </w:num>
  <w:num w:numId="14" w16cid:durableId="1983077962">
    <w:abstractNumId w:val="8"/>
  </w:num>
  <w:num w:numId="15" w16cid:durableId="1301574017">
    <w:abstractNumId w:val="2"/>
  </w:num>
  <w:num w:numId="16" w16cid:durableId="741175271">
    <w:abstractNumId w:val="13"/>
  </w:num>
  <w:num w:numId="17" w16cid:durableId="2056736507">
    <w:abstractNumId w:val="7"/>
  </w:num>
  <w:num w:numId="18" w16cid:durableId="85421385">
    <w:abstractNumId w:val="10"/>
  </w:num>
  <w:num w:numId="19" w16cid:durableId="8656033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Nja3MDE0M7c0MzZQ0lEKTi0uzszPAymwrAUAS+IJECwAAAA="/>
  </w:docVars>
  <w:rsids>
    <w:rsidRoot w:val="002E3CDA"/>
    <w:rsid w:val="00005043"/>
    <w:rsid w:val="00016161"/>
    <w:rsid w:val="00035520"/>
    <w:rsid w:val="00035DEB"/>
    <w:rsid w:val="00052DEE"/>
    <w:rsid w:val="000567CF"/>
    <w:rsid w:val="00056B55"/>
    <w:rsid w:val="000706DA"/>
    <w:rsid w:val="00087481"/>
    <w:rsid w:val="00095518"/>
    <w:rsid w:val="0009635A"/>
    <w:rsid w:val="000A58B8"/>
    <w:rsid w:val="000E5825"/>
    <w:rsid w:val="000F4D4F"/>
    <w:rsid w:val="00142E50"/>
    <w:rsid w:val="001539CF"/>
    <w:rsid w:val="0016797B"/>
    <w:rsid w:val="00172FFB"/>
    <w:rsid w:val="00181213"/>
    <w:rsid w:val="001823E7"/>
    <w:rsid w:val="00184CEF"/>
    <w:rsid w:val="00194C9D"/>
    <w:rsid w:val="00195ECD"/>
    <w:rsid w:val="001A7A78"/>
    <w:rsid w:val="001B01F1"/>
    <w:rsid w:val="001B36A9"/>
    <w:rsid w:val="001C3FB4"/>
    <w:rsid w:val="001C74C3"/>
    <w:rsid w:val="001E446D"/>
    <w:rsid w:val="00234CF8"/>
    <w:rsid w:val="00257773"/>
    <w:rsid w:val="00263D39"/>
    <w:rsid w:val="002867C8"/>
    <w:rsid w:val="00295A60"/>
    <w:rsid w:val="00297BF8"/>
    <w:rsid w:val="002E3CDA"/>
    <w:rsid w:val="00316C69"/>
    <w:rsid w:val="00317C36"/>
    <w:rsid w:val="00321088"/>
    <w:rsid w:val="00350B0C"/>
    <w:rsid w:val="00381D96"/>
    <w:rsid w:val="003B28D5"/>
    <w:rsid w:val="003B7AF6"/>
    <w:rsid w:val="003C1D3B"/>
    <w:rsid w:val="003C7FC4"/>
    <w:rsid w:val="003D2E0C"/>
    <w:rsid w:val="003E3663"/>
    <w:rsid w:val="003F1F37"/>
    <w:rsid w:val="00411E43"/>
    <w:rsid w:val="00414EC2"/>
    <w:rsid w:val="00446C16"/>
    <w:rsid w:val="0045052D"/>
    <w:rsid w:val="00457AA4"/>
    <w:rsid w:val="00484579"/>
    <w:rsid w:val="00491163"/>
    <w:rsid w:val="004C5644"/>
    <w:rsid w:val="004D4458"/>
    <w:rsid w:val="004E6C06"/>
    <w:rsid w:val="004F6FA9"/>
    <w:rsid w:val="00514223"/>
    <w:rsid w:val="00525082"/>
    <w:rsid w:val="00572857"/>
    <w:rsid w:val="005746F5"/>
    <w:rsid w:val="00577859"/>
    <w:rsid w:val="005975A9"/>
    <w:rsid w:val="005C092A"/>
    <w:rsid w:val="005D4767"/>
    <w:rsid w:val="005E44D6"/>
    <w:rsid w:val="005F3AB1"/>
    <w:rsid w:val="006073AE"/>
    <w:rsid w:val="00622CA5"/>
    <w:rsid w:val="00625231"/>
    <w:rsid w:val="006277AD"/>
    <w:rsid w:val="0063259A"/>
    <w:rsid w:val="00642CAD"/>
    <w:rsid w:val="00684E68"/>
    <w:rsid w:val="0069365B"/>
    <w:rsid w:val="006A2E3B"/>
    <w:rsid w:val="006C3363"/>
    <w:rsid w:val="006F65E4"/>
    <w:rsid w:val="007277C3"/>
    <w:rsid w:val="00754680"/>
    <w:rsid w:val="00763FE2"/>
    <w:rsid w:val="00765160"/>
    <w:rsid w:val="007A1616"/>
    <w:rsid w:val="007A203B"/>
    <w:rsid w:val="007A38DC"/>
    <w:rsid w:val="007C097C"/>
    <w:rsid w:val="007C3206"/>
    <w:rsid w:val="007C621C"/>
    <w:rsid w:val="007D055D"/>
    <w:rsid w:val="007D2DB0"/>
    <w:rsid w:val="007D3533"/>
    <w:rsid w:val="007D75DD"/>
    <w:rsid w:val="008213E5"/>
    <w:rsid w:val="0084699A"/>
    <w:rsid w:val="00853561"/>
    <w:rsid w:val="00890B21"/>
    <w:rsid w:val="008A4B05"/>
    <w:rsid w:val="008B19DF"/>
    <w:rsid w:val="008B6860"/>
    <w:rsid w:val="008D20EA"/>
    <w:rsid w:val="008F7B49"/>
    <w:rsid w:val="00906F14"/>
    <w:rsid w:val="009208D2"/>
    <w:rsid w:val="00921E96"/>
    <w:rsid w:val="009625C2"/>
    <w:rsid w:val="009C54CA"/>
    <w:rsid w:val="009D3E1B"/>
    <w:rsid w:val="009F1739"/>
    <w:rsid w:val="00A2262D"/>
    <w:rsid w:val="00A45801"/>
    <w:rsid w:val="00A537D0"/>
    <w:rsid w:val="00A61EFF"/>
    <w:rsid w:val="00A71004"/>
    <w:rsid w:val="00A7466C"/>
    <w:rsid w:val="00A96DBC"/>
    <w:rsid w:val="00A97D14"/>
    <w:rsid w:val="00AA403A"/>
    <w:rsid w:val="00AB7436"/>
    <w:rsid w:val="00AD4AD1"/>
    <w:rsid w:val="00AE161E"/>
    <w:rsid w:val="00B03305"/>
    <w:rsid w:val="00B17C64"/>
    <w:rsid w:val="00B2240E"/>
    <w:rsid w:val="00B22A72"/>
    <w:rsid w:val="00B35D37"/>
    <w:rsid w:val="00B53D0B"/>
    <w:rsid w:val="00B86E00"/>
    <w:rsid w:val="00BB7D12"/>
    <w:rsid w:val="00BC7F20"/>
    <w:rsid w:val="00BE70A4"/>
    <w:rsid w:val="00BE7426"/>
    <w:rsid w:val="00BF1649"/>
    <w:rsid w:val="00C059B0"/>
    <w:rsid w:val="00CD3EEA"/>
    <w:rsid w:val="00CF0E56"/>
    <w:rsid w:val="00CF10E3"/>
    <w:rsid w:val="00D21B50"/>
    <w:rsid w:val="00D627FE"/>
    <w:rsid w:val="00D63B6B"/>
    <w:rsid w:val="00D71449"/>
    <w:rsid w:val="00D84C8F"/>
    <w:rsid w:val="00D972E9"/>
    <w:rsid w:val="00DA00D5"/>
    <w:rsid w:val="00DA061C"/>
    <w:rsid w:val="00DA1993"/>
    <w:rsid w:val="00DA3E13"/>
    <w:rsid w:val="00DD0D39"/>
    <w:rsid w:val="00DD339D"/>
    <w:rsid w:val="00DE4507"/>
    <w:rsid w:val="00DF4B7D"/>
    <w:rsid w:val="00DF4ED3"/>
    <w:rsid w:val="00E5102C"/>
    <w:rsid w:val="00E85E15"/>
    <w:rsid w:val="00E946E9"/>
    <w:rsid w:val="00EA1CE1"/>
    <w:rsid w:val="00EE04F2"/>
    <w:rsid w:val="00EE1DB0"/>
    <w:rsid w:val="00F03881"/>
    <w:rsid w:val="00F232B9"/>
    <w:rsid w:val="00F27CDE"/>
    <w:rsid w:val="00F3227B"/>
    <w:rsid w:val="00F360F7"/>
    <w:rsid w:val="00F41E4F"/>
    <w:rsid w:val="00F63793"/>
    <w:rsid w:val="00F66FB1"/>
    <w:rsid w:val="00F76BEB"/>
    <w:rsid w:val="00F91984"/>
    <w:rsid w:val="00FB2532"/>
    <w:rsid w:val="00FD1A27"/>
    <w:rsid w:val="00FD241F"/>
    <w:rsid w:val="0A9D548B"/>
    <w:rsid w:val="0C9075FA"/>
    <w:rsid w:val="100D3485"/>
    <w:rsid w:val="159ECF8C"/>
    <w:rsid w:val="1AE8635D"/>
    <w:rsid w:val="1BEDB41C"/>
    <w:rsid w:val="1DB5A552"/>
    <w:rsid w:val="20D43116"/>
    <w:rsid w:val="2AED3D69"/>
    <w:rsid w:val="32303703"/>
    <w:rsid w:val="3AC2E597"/>
    <w:rsid w:val="473C70DF"/>
    <w:rsid w:val="54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DEEA5"/>
  <w15:chartTrackingRefBased/>
  <w15:docId w15:val="{7CF9F715-EE3D-4B5D-873E-B19C4D29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CDA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6C16"/>
    <w:pPr>
      <w:spacing w:after="0" w:line="240" w:lineRule="auto"/>
    </w:pPr>
    <w:rPr>
      <w:rFonts w:eastAsiaTheme="minorEastAsia"/>
    </w:rPr>
  </w:style>
  <w:style w:type="numbering" w:customStyle="1" w:styleId="Handbook">
    <w:name w:val="Handbook"/>
    <w:uiPriority w:val="99"/>
    <w:rsid w:val="00446C1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06F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F1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6F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6F14"/>
    <w:rPr>
      <w:rFonts w:ascii="Times New Roman" w:hAnsi="Times New Roman"/>
      <w:sz w:val="24"/>
    </w:rPr>
  </w:style>
  <w:style w:type="character" w:styleId="Hyperlink">
    <w:name w:val="Hyperlink"/>
    <w:uiPriority w:val="99"/>
    <w:rsid w:val="00B224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7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79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dcbbca86e4d2c314f56cc14fe52c673e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ebe74d538b51edaa450f594976be42d8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9AE5B-08B3-48DD-8DCD-31A2329FC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290A7-29EF-4F7F-B49E-CA381B5D8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5CD4A-AB74-4162-8132-AB980881C0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Sarah</dc:creator>
  <cp:keywords/>
  <dc:description/>
  <cp:lastModifiedBy>Brock, Angela</cp:lastModifiedBy>
  <cp:revision>2</cp:revision>
  <cp:lastPrinted>2018-03-27T12:34:00Z</cp:lastPrinted>
  <dcterms:created xsi:type="dcterms:W3CDTF">2022-09-08T11:53:00Z</dcterms:created>
  <dcterms:modified xsi:type="dcterms:W3CDTF">2022-09-08T11:53:00Z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