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795B" w14:textId="5E210361" w:rsidR="00AC60C4" w:rsidRPr="008E259B" w:rsidRDefault="00AC60C4" w:rsidP="00AC60C4">
      <w:pPr>
        <w:spacing w:after="0"/>
        <w:jc w:val="center"/>
        <w:rPr>
          <w:rFonts w:asciiTheme="majorHAnsi" w:eastAsiaTheme="minorHAnsi" w:hAnsiTheme="majorHAnsi" w:cstheme="majorHAnsi"/>
          <w:b/>
          <w:sz w:val="24"/>
          <w:szCs w:val="24"/>
        </w:rPr>
      </w:pPr>
      <w:r w:rsidRPr="008E259B">
        <w:rPr>
          <w:rFonts w:asciiTheme="majorHAnsi" w:eastAsiaTheme="minorHAnsi" w:hAnsiTheme="majorHAnsi" w:cstheme="majorHAnsi"/>
          <w:b/>
          <w:sz w:val="24"/>
          <w:szCs w:val="24"/>
        </w:rPr>
        <w:t>Resolution to Clarify Grievance</w:t>
      </w:r>
      <w:r w:rsidR="004B5A4D">
        <w:rPr>
          <w:rFonts w:asciiTheme="majorHAnsi" w:eastAsiaTheme="minorHAnsi" w:hAnsiTheme="majorHAnsi" w:cstheme="majorHAnsi"/>
          <w:b/>
          <w:sz w:val="24"/>
          <w:szCs w:val="24"/>
        </w:rPr>
        <w:t xml:space="preserve"> Procedures</w:t>
      </w:r>
      <w:r w:rsidRPr="008E259B">
        <w:rPr>
          <w:rFonts w:asciiTheme="majorHAnsi" w:eastAsiaTheme="minorHAnsi" w:hAnsiTheme="majorHAnsi" w:cstheme="majorHAnsi"/>
          <w:b/>
          <w:sz w:val="24"/>
          <w:szCs w:val="24"/>
        </w:rPr>
        <w:t xml:space="preserve"> </w:t>
      </w:r>
    </w:p>
    <w:p w14:paraId="15ADA587" w14:textId="77777777" w:rsidR="00AC60C4" w:rsidRPr="00AC60C4" w:rsidRDefault="00AC60C4" w:rsidP="00AC60C4">
      <w:pPr>
        <w:spacing w:after="0"/>
        <w:jc w:val="center"/>
        <w:rPr>
          <w:rFonts w:asciiTheme="majorHAnsi" w:eastAsiaTheme="minorHAnsi" w:hAnsiTheme="majorHAnsi" w:cstheme="majorHAnsi"/>
          <w:sz w:val="24"/>
          <w:szCs w:val="24"/>
        </w:rPr>
      </w:pPr>
      <w:r w:rsidRPr="00AC60C4">
        <w:rPr>
          <w:rFonts w:asciiTheme="majorHAnsi" w:eastAsiaTheme="minorHAnsi" w:hAnsiTheme="majorHAnsi" w:cstheme="majorHAnsi"/>
          <w:sz w:val="24"/>
          <w:szCs w:val="24"/>
        </w:rPr>
        <w:t>Professional Relations Committee</w:t>
      </w:r>
    </w:p>
    <w:p w14:paraId="41B3FBFE" w14:textId="4D1B6F1E" w:rsidR="00AC60C4" w:rsidRDefault="00AC60C4" w:rsidP="00AC60C4">
      <w:pPr>
        <w:spacing w:after="0"/>
        <w:jc w:val="center"/>
        <w:rPr>
          <w:rFonts w:asciiTheme="majorHAnsi" w:eastAsiaTheme="minorHAnsi" w:hAnsiTheme="majorHAnsi" w:cstheme="majorHAnsi"/>
          <w:sz w:val="24"/>
          <w:szCs w:val="24"/>
        </w:rPr>
      </w:pPr>
      <w:r w:rsidRPr="00AC60C4">
        <w:rPr>
          <w:rFonts w:asciiTheme="majorHAnsi" w:eastAsiaTheme="minorHAnsi" w:hAnsiTheme="majorHAnsi" w:cstheme="majorHAnsi"/>
          <w:sz w:val="24"/>
          <w:szCs w:val="24"/>
        </w:rPr>
        <w:t>Faculty Senate</w:t>
      </w:r>
    </w:p>
    <w:p w14:paraId="3082A585" w14:textId="7B54FA32" w:rsidR="003810E0" w:rsidRPr="00AC60C4" w:rsidRDefault="003810E0" w:rsidP="00AC60C4">
      <w:pPr>
        <w:spacing w:after="0"/>
        <w:jc w:val="center"/>
        <w:rPr>
          <w:rFonts w:asciiTheme="majorHAnsi" w:eastAsiaTheme="minorHAnsi" w:hAnsiTheme="majorHAnsi" w:cstheme="majorHAnsi"/>
          <w:sz w:val="24"/>
          <w:szCs w:val="24"/>
        </w:rPr>
      </w:pPr>
      <w:r>
        <w:rPr>
          <w:rFonts w:asciiTheme="majorHAnsi" w:eastAsiaTheme="minorHAnsi" w:hAnsiTheme="majorHAnsi" w:cstheme="majorHAnsi"/>
          <w:sz w:val="24"/>
          <w:szCs w:val="24"/>
        </w:rPr>
        <w:t>Ohio University</w:t>
      </w:r>
    </w:p>
    <w:p w14:paraId="30D711D8" w14:textId="497CA038" w:rsidR="00AC60C4" w:rsidRPr="00CC5D2F" w:rsidRDefault="003810E0" w:rsidP="003810E0">
      <w:pPr>
        <w:spacing w:after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</w:rPr>
        <w:t>First</w:t>
      </w:r>
      <w:r w:rsidR="00CC5D2F" w:rsidRPr="00CC5D2F">
        <w:rPr>
          <w:rFonts w:asciiTheme="majorHAnsi" w:eastAsiaTheme="minorHAnsi" w:hAnsiTheme="majorHAnsi" w:cstheme="majorHAnsi"/>
          <w:b/>
          <w:bCs/>
          <w:sz w:val="24"/>
          <w:szCs w:val="24"/>
        </w:rPr>
        <w:t xml:space="preserve"> Read</w:t>
      </w:r>
      <w:r>
        <w:rPr>
          <w:rFonts w:asciiTheme="majorHAnsi" w:eastAsiaTheme="minorHAnsi" w:hAnsiTheme="majorHAnsi" w:cstheme="majorHAnsi"/>
          <w:b/>
          <w:bCs/>
          <w:sz w:val="24"/>
          <w:szCs w:val="24"/>
        </w:rPr>
        <w:t>ing</w:t>
      </w:r>
      <w:r w:rsidR="00CC5D2F" w:rsidRPr="00CC5D2F">
        <w:rPr>
          <w:rFonts w:asciiTheme="majorHAnsi" w:eastAsiaTheme="minorHAnsi" w:hAnsiTheme="majorHAnsi" w:cstheme="majorHAnsi"/>
          <w:b/>
          <w:bCs/>
          <w:sz w:val="24"/>
          <w:szCs w:val="24"/>
        </w:rPr>
        <w:t xml:space="preserve"> March 14, 2022</w:t>
      </w:r>
    </w:p>
    <w:p w14:paraId="45D46BC0" w14:textId="77777777" w:rsidR="00AC60C4" w:rsidRPr="00CC5D2F" w:rsidRDefault="00AC60C4" w:rsidP="00AC60C4">
      <w:pPr>
        <w:spacing w:after="0"/>
        <w:rPr>
          <w:rFonts w:asciiTheme="majorHAnsi" w:eastAsiaTheme="minorHAnsi" w:hAnsiTheme="majorHAnsi" w:cstheme="majorHAnsi"/>
          <w:b/>
          <w:bCs/>
          <w:sz w:val="24"/>
          <w:szCs w:val="24"/>
        </w:rPr>
      </w:pPr>
    </w:p>
    <w:p w14:paraId="4C44980C" w14:textId="678A3461" w:rsidR="004E2DEF" w:rsidRPr="008E259B" w:rsidRDefault="00AC60C4" w:rsidP="004E2DE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E259B">
        <w:rPr>
          <w:rFonts w:asciiTheme="majorHAnsi" w:eastAsiaTheme="minorHAnsi" w:hAnsiTheme="majorHAnsi" w:cstheme="majorHAnsi"/>
          <w:b/>
          <w:iCs/>
          <w:sz w:val="24"/>
          <w:szCs w:val="24"/>
        </w:rPr>
        <w:t>Whereas</w:t>
      </w:r>
      <w:r w:rsidRPr="008E259B">
        <w:rPr>
          <w:rFonts w:asciiTheme="majorHAnsi" w:eastAsiaTheme="minorHAnsi" w:hAnsiTheme="majorHAnsi" w:cstheme="majorHAnsi"/>
          <w:iCs/>
          <w:sz w:val="24"/>
          <w:szCs w:val="24"/>
        </w:rPr>
        <w:t xml:space="preserve"> </w:t>
      </w:r>
      <w:r w:rsidR="004E2DEF" w:rsidRPr="008E259B">
        <w:rPr>
          <w:rFonts w:asciiTheme="majorHAnsi" w:hAnsiTheme="majorHAnsi" w:cstheme="majorHAnsi"/>
          <w:sz w:val="24"/>
          <w:szCs w:val="24"/>
        </w:rPr>
        <w:t>if a faculty member feels that they have cause for grievance in matters other than reappointment, tenure, and promotion</w:t>
      </w:r>
      <w:r w:rsidR="008E259B">
        <w:rPr>
          <w:rFonts w:asciiTheme="majorHAnsi" w:hAnsiTheme="majorHAnsi" w:cstheme="majorHAnsi"/>
          <w:sz w:val="24"/>
          <w:szCs w:val="24"/>
        </w:rPr>
        <w:t>, t</w:t>
      </w:r>
      <w:r w:rsidR="004E2DEF" w:rsidRPr="008E259B">
        <w:rPr>
          <w:rFonts w:asciiTheme="majorHAnsi" w:hAnsiTheme="majorHAnsi" w:cstheme="majorHAnsi"/>
          <w:sz w:val="24"/>
          <w:szCs w:val="24"/>
        </w:rPr>
        <w:t>hey are entitled to file a grievance,</w:t>
      </w:r>
    </w:p>
    <w:p w14:paraId="19B27992" w14:textId="3CB36BC3" w:rsidR="004E2DEF" w:rsidRPr="008E259B" w:rsidRDefault="004E2DEF" w:rsidP="004E2DEF">
      <w:pPr>
        <w:pStyle w:val="NormalWeb"/>
        <w:rPr>
          <w:rFonts w:asciiTheme="majorHAnsi" w:hAnsiTheme="majorHAnsi" w:cstheme="majorHAnsi"/>
        </w:rPr>
      </w:pPr>
      <w:r w:rsidRPr="008E259B">
        <w:rPr>
          <w:rFonts w:asciiTheme="majorHAnsi" w:hAnsiTheme="majorHAnsi" w:cstheme="majorHAnsi"/>
          <w:b/>
        </w:rPr>
        <w:t xml:space="preserve">Whereas </w:t>
      </w:r>
      <w:r w:rsidRPr="008E259B">
        <w:rPr>
          <w:rFonts w:asciiTheme="majorHAnsi" w:hAnsiTheme="majorHAnsi" w:cstheme="majorHAnsi"/>
        </w:rPr>
        <w:t>it is reasonable that multiple faculty members could perceive that they individually have cause for a grievance related to the same violation</w:t>
      </w:r>
      <w:r w:rsidR="00B072E0" w:rsidRPr="008E259B">
        <w:rPr>
          <w:rFonts w:asciiTheme="majorHAnsi" w:hAnsiTheme="majorHAnsi" w:cstheme="majorHAnsi"/>
        </w:rPr>
        <w:t xml:space="preserve"> or issue or </w:t>
      </w:r>
      <w:r w:rsidRPr="008E259B">
        <w:rPr>
          <w:rFonts w:asciiTheme="majorHAnsi" w:hAnsiTheme="majorHAnsi" w:cstheme="majorHAnsi"/>
        </w:rPr>
        <w:t>action,</w:t>
      </w:r>
    </w:p>
    <w:p w14:paraId="31BB9E72" w14:textId="71BC8941" w:rsidR="004E2DEF" w:rsidRDefault="004E2DEF" w:rsidP="004E2DEF">
      <w:pPr>
        <w:pStyle w:val="NormalWeb"/>
        <w:rPr>
          <w:rFonts w:asciiTheme="majorHAnsi" w:hAnsiTheme="majorHAnsi" w:cstheme="majorHAnsi"/>
        </w:rPr>
      </w:pPr>
      <w:r w:rsidRPr="008E259B">
        <w:rPr>
          <w:rFonts w:asciiTheme="majorHAnsi" w:hAnsiTheme="majorHAnsi" w:cstheme="majorHAnsi"/>
          <w:b/>
        </w:rPr>
        <w:t>Whereas</w:t>
      </w:r>
      <w:r w:rsidRPr="008E259B">
        <w:rPr>
          <w:rFonts w:asciiTheme="majorHAnsi" w:hAnsiTheme="majorHAnsi" w:cstheme="majorHAnsi"/>
        </w:rPr>
        <w:t xml:space="preserve"> prohibiting such individuals from filing a common grievance could result in multiple individual grievances being submitted for the same alleged violation,</w:t>
      </w:r>
    </w:p>
    <w:p w14:paraId="68EA6D3C" w14:textId="1426ADF0" w:rsidR="00B214ED" w:rsidRPr="008E259B" w:rsidRDefault="00B214ED" w:rsidP="004E2DEF">
      <w:pPr>
        <w:pStyle w:val="NormalWeb"/>
        <w:rPr>
          <w:rFonts w:asciiTheme="majorHAnsi" w:hAnsiTheme="majorHAnsi" w:cstheme="majorHAnsi"/>
        </w:rPr>
      </w:pPr>
      <w:r w:rsidRPr="00B214ED">
        <w:rPr>
          <w:rFonts w:asciiTheme="majorHAnsi" w:hAnsiTheme="majorHAnsi" w:cstheme="majorHAnsi"/>
          <w:b/>
          <w:bCs/>
        </w:rPr>
        <w:t>Whereas</w:t>
      </w:r>
      <w:r>
        <w:rPr>
          <w:rFonts w:asciiTheme="majorHAnsi" w:hAnsiTheme="majorHAnsi" w:cstheme="majorHAnsi"/>
        </w:rPr>
        <w:t xml:space="preserve"> there is a need for clarity around the timeline in the grievance process, </w:t>
      </w:r>
    </w:p>
    <w:p w14:paraId="7238DF94" w14:textId="10A6E801" w:rsidR="00AC60C4" w:rsidRPr="00AC60C4" w:rsidRDefault="00AC60C4" w:rsidP="00AC60C4">
      <w:pPr>
        <w:spacing w:after="0"/>
        <w:contextualSpacing/>
        <w:rPr>
          <w:rFonts w:asciiTheme="majorHAnsi" w:hAnsiTheme="majorHAnsi" w:cstheme="majorHAnsi"/>
          <w:iCs/>
          <w:sz w:val="24"/>
          <w:szCs w:val="24"/>
        </w:rPr>
      </w:pPr>
      <w:r w:rsidRPr="00AC60C4">
        <w:rPr>
          <w:rFonts w:asciiTheme="majorHAnsi" w:hAnsiTheme="majorHAnsi" w:cstheme="majorHAnsi"/>
          <w:b/>
          <w:iCs/>
          <w:sz w:val="24"/>
          <w:szCs w:val="24"/>
        </w:rPr>
        <w:t>Be it resolved</w:t>
      </w:r>
      <w:r w:rsidRPr="00AC60C4">
        <w:rPr>
          <w:rFonts w:asciiTheme="majorHAnsi" w:hAnsiTheme="majorHAnsi" w:cstheme="majorHAnsi"/>
          <w:iCs/>
          <w:sz w:val="24"/>
          <w:szCs w:val="24"/>
        </w:rPr>
        <w:t xml:space="preserve"> that the language of the Faculty Handbook Sections II.</w:t>
      </w:r>
      <w:r w:rsidR="00B072E0" w:rsidRPr="008E259B">
        <w:rPr>
          <w:rFonts w:asciiTheme="majorHAnsi" w:hAnsiTheme="majorHAnsi" w:cstheme="majorHAnsi"/>
          <w:iCs/>
          <w:sz w:val="24"/>
          <w:szCs w:val="24"/>
        </w:rPr>
        <w:t>G</w:t>
      </w:r>
      <w:r w:rsidRPr="00AC60C4">
        <w:rPr>
          <w:rFonts w:asciiTheme="majorHAnsi" w:hAnsiTheme="majorHAnsi" w:cstheme="majorHAnsi"/>
          <w:iCs/>
          <w:sz w:val="24"/>
          <w:szCs w:val="24"/>
        </w:rPr>
        <w:t xml:space="preserve"> be revised as follows:</w:t>
      </w:r>
    </w:p>
    <w:p w14:paraId="0AE6326F" w14:textId="77777777" w:rsidR="00AC60C4" w:rsidRPr="00AC60C4" w:rsidRDefault="00AC60C4" w:rsidP="00AC60C4">
      <w:pPr>
        <w:spacing w:after="0"/>
        <w:contextualSpacing/>
        <w:rPr>
          <w:rFonts w:asciiTheme="majorHAnsi" w:hAnsiTheme="majorHAnsi" w:cstheme="majorHAnsi"/>
          <w:iCs/>
          <w:sz w:val="24"/>
          <w:szCs w:val="24"/>
        </w:rPr>
      </w:pPr>
    </w:p>
    <w:p w14:paraId="46B28075" w14:textId="77777777" w:rsidR="00EA10D5" w:rsidRPr="008E259B" w:rsidRDefault="00EA10D5" w:rsidP="00EA10D5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48F6E770" w14:textId="3E64641E" w:rsidR="00EA10D5" w:rsidRPr="008E259B" w:rsidRDefault="00B072E0" w:rsidP="00B072E0">
      <w:pPr>
        <w:pStyle w:val="Heading2"/>
        <w:ind w:left="720"/>
        <w:rPr>
          <w:rFonts w:cstheme="majorHAnsi"/>
          <w:sz w:val="24"/>
          <w:szCs w:val="24"/>
        </w:rPr>
      </w:pPr>
      <w:bookmarkStart w:id="0" w:name="Section_II_G"/>
      <w:bookmarkStart w:id="1" w:name="_Toc77071287"/>
      <w:bookmarkEnd w:id="0"/>
      <w:r w:rsidRPr="008E259B">
        <w:rPr>
          <w:rFonts w:cstheme="majorHAnsi"/>
          <w:sz w:val="24"/>
          <w:szCs w:val="24"/>
        </w:rPr>
        <w:t xml:space="preserve">G. </w:t>
      </w:r>
      <w:r w:rsidR="00EA10D5" w:rsidRPr="008E259B">
        <w:rPr>
          <w:rFonts w:cstheme="majorHAnsi"/>
          <w:sz w:val="24"/>
          <w:szCs w:val="24"/>
        </w:rPr>
        <w:t>Faculty Grievance Committee</w:t>
      </w:r>
      <w:bookmarkEnd w:id="1"/>
    </w:p>
    <w:p w14:paraId="431992D9" w14:textId="77777777" w:rsidR="00EA10D5" w:rsidRPr="008E259B" w:rsidRDefault="00EA10D5" w:rsidP="00EA10D5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47235C88" w14:textId="16FF0798" w:rsidR="00EA10D5" w:rsidRPr="00D7535A" w:rsidRDefault="00EA10D5" w:rsidP="00D753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7535A">
        <w:rPr>
          <w:rFonts w:asciiTheme="majorHAnsi" w:hAnsiTheme="majorHAnsi" w:cstheme="majorHAnsi"/>
          <w:sz w:val="24"/>
          <w:szCs w:val="24"/>
        </w:rPr>
        <w:t>If a faculty member feels that he/she/they have cause for grievance in matters other than reappointment, tenure, and promotion (</w:t>
      </w:r>
      <w:hyperlink w:anchor="section_II_F" w:history="1">
        <w:r w:rsidRPr="00D7535A">
          <w:rPr>
            <w:rStyle w:val="Hyperlink"/>
            <w:rFonts w:asciiTheme="majorHAnsi" w:hAnsiTheme="majorHAnsi" w:cstheme="majorHAnsi"/>
            <w:sz w:val="24"/>
            <w:szCs w:val="24"/>
          </w:rPr>
          <w:t>Section II.F</w:t>
        </w:r>
      </w:hyperlink>
      <w:r w:rsidRPr="00D7535A">
        <w:rPr>
          <w:rFonts w:asciiTheme="majorHAnsi" w:hAnsiTheme="majorHAnsi" w:cstheme="majorHAnsi"/>
          <w:sz w:val="24"/>
          <w:szCs w:val="24"/>
        </w:rPr>
        <w:t>), they are entitled to file a grievance.</w:t>
      </w:r>
    </w:p>
    <w:p w14:paraId="50D30EAF" w14:textId="77777777" w:rsidR="00D7535A" w:rsidRPr="00D7535A" w:rsidRDefault="00D7535A" w:rsidP="00D7535A">
      <w:pPr>
        <w:spacing w:after="0"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00ADB5A3" w14:textId="775F1D96" w:rsidR="00EA10D5" w:rsidRPr="00D7535A" w:rsidRDefault="00EA10D5" w:rsidP="00D753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7535A">
        <w:rPr>
          <w:rFonts w:asciiTheme="majorHAnsi" w:hAnsiTheme="majorHAnsi" w:cstheme="majorHAnsi"/>
          <w:sz w:val="24"/>
          <w:szCs w:val="24"/>
        </w:rPr>
        <w:t xml:space="preserve">The grievance should be submitted in writing first to the Department Chair; if there is no resolution it moves next to the dean of the College, and finally to the Provost as outlined below. </w:t>
      </w:r>
      <w:r w:rsidRPr="00D7535A">
        <w:rPr>
          <w:rFonts w:asciiTheme="majorHAnsi" w:hAnsiTheme="majorHAnsi" w:cstheme="majorHAnsi"/>
          <w:strike/>
          <w:sz w:val="24"/>
          <w:szCs w:val="24"/>
        </w:rPr>
        <w:t>In the case of the regional campuses, the grievance should be submitted in writing to the dean of the campus, and finally to the Provost.</w:t>
      </w:r>
      <w:r w:rsidRPr="00D7535A">
        <w:rPr>
          <w:rFonts w:asciiTheme="majorHAnsi" w:hAnsiTheme="majorHAnsi" w:cstheme="majorHAnsi"/>
          <w:sz w:val="24"/>
          <w:szCs w:val="24"/>
          <w:highlight w:val="yellow"/>
        </w:rPr>
        <w:t xml:space="preserve">  </w:t>
      </w:r>
    </w:p>
    <w:p w14:paraId="01881284" w14:textId="332A4906" w:rsidR="00D7535A" w:rsidRDefault="00D7535A" w:rsidP="00D7535A">
      <w:pPr>
        <w:spacing w:after="0" w:line="240" w:lineRule="auto"/>
        <w:ind w:left="720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38CCA3EF" w14:textId="77777777" w:rsidR="00B214ED" w:rsidRPr="00B214ED" w:rsidRDefault="00EA10D5" w:rsidP="00B214E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B214ED">
        <w:rPr>
          <w:rFonts w:asciiTheme="majorHAnsi" w:hAnsiTheme="majorHAnsi" w:cstheme="majorHAnsi"/>
          <w:sz w:val="24"/>
          <w:szCs w:val="24"/>
        </w:rPr>
        <w:t xml:space="preserve">If the </w:t>
      </w:r>
      <w:r w:rsidR="00B072E0" w:rsidRPr="00B214ED">
        <w:rPr>
          <w:rFonts w:asciiTheme="majorHAnsi" w:hAnsiTheme="majorHAnsi" w:cstheme="majorHAnsi"/>
          <w:sz w:val="24"/>
          <w:szCs w:val="24"/>
        </w:rPr>
        <w:t>c</w:t>
      </w:r>
      <w:r w:rsidRPr="00B214ED">
        <w:rPr>
          <w:rFonts w:asciiTheme="majorHAnsi" w:hAnsiTheme="majorHAnsi" w:cstheme="majorHAnsi"/>
          <w:sz w:val="24"/>
          <w:szCs w:val="24"/>
        </w:rPr>
        <w:t>hair, Dean, or Provost are identified in the grievance or have a conflict of interest, then the grievance must be submitted in writing to the next administrative officer in the hierarchy.</w:t>
      </w:r>
    </w:p>
    <w:p w14:paraId="3263AB58" w14:textId="77777777" w:rsidR="00B214ED" w:rsidRPr="00B214ED" w:rsidRDefault="00EA10D5" w:rsidP="00B214E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B214ED">
        <w:rPr>
          <w:rFonts w:asciiTheme="majorHAnsi" w:hAnsiTheme="majorHAnsi" w:cstheme="majorHAnsi"/>
          <w:sz w:val="24"/>
          <w:szCs w:val="24"/>
        </w:rPr>
        <w:t xml:space="preserve">In the </w:t>
      </w:r>
      <w:r w:rsidRPr="00B214ED">
        <w:rPr>
          <w:rFonts w:asciiTheme="majorHAnsi" w:hAnsiTheme="majorHAnsi" w:cstheme="majorHAnsi"/>
          <w:strike/>
          <w:sz w:val="24"/>
          <w:szCs w:val="24"/>
        </w:rPr>
        <w:t>rare</w:t>
      </w:r>
      <w:r w:rsidRPr="00B214ED">
        <w:rPr>
          <w:rFonts w:asciiTheme="majorHAnsi" w:hAnsiTheme="majorHAnsi" w:cstheme="majorHAnsi"/>
          <w:sz w:val="24"/>
          <w:szCs w:val="24"/>
        </w:rPr>
        <w:t xml:space="preserve"> instance that the chair, Dean, and Provost are all identified in the grievance or have a conflict of interest, the grievance should be sent to the President who will forward it to the Professional Relations Committee of the Faculty Senate for review.</w:t>
      </w:r>
    </w:p>
    <w:p w14:paraId="43A9068E" w14:textId="4845A1F9" w:rsidR="00EA10D5" w:rsidRPr="00B214ED" w:rsidRDefault="00EA10D5" w:rsidP="00B214E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B214ED">
        <w:rPr>
          <w:rFonts w:asciiTheme="majorHAnsi" w:hAnsiTheme="majorHAnsi" w:cstheme="majorHAnsi"/>
          <w:sz w:val="24"/>
          <w:szCs w:val="24"/>
        </w:rPr>
        <w:t xml:space="preserve">Each administrative level </w:t>
      </w:r>
      <w:r w:rsidR="00B072E0" w:rsidRPr="00B214ED">
        <w:rPr>
          <w:rFonts w:asciiTheme="majorHAnsi" w:hAnsiTheme="majorHAnsi" w:cstheme="majorHAnsi"/>
          <w:color w:val="FF0000"/>
          <w:sz w:val="24"/>
          <w:szCs w:val="24"/>
        </w:rPr>
        <w:t>(Chair, Dean, Provost)</w:t>
      </w:r>
      <w:r w:rsidR="00B072E0" w:rsidRPr="00B214ED">
        <w:rPr>
          <w:rFonts w:asciiTheme="majorHAnsi" w:hAnsiTheme="majorHAnsi" w:cstheme="majorHAnsi"/>
          <w:sz w:val="24"/>
          <w:szCs w:val="24"/>
        </w:rPr>
        <w:t xml:space="preserve"> </w:t>
      </w:r>
      <w:r w:rsidRPr="00B214ED">
        <w:rPr>
          <w:rFonts w:asciiTheme="majorHAnsi" w:hAnsiTheme="majorHAnsi" w:cstheme="majorHAnsi"/>
          <w:sz w:val="24"/>
          <w:szCs w:val="24"/>
        </w:rPr>
        <w:t xml:space="preserve">shall render a finding within 30 days. If no decision is received within </w:t>
      </w:r>
      <w:r w:rsidRPr="00B214ED">
        <w:rPr>
          <w:rFonts w:asciiTheme="majorHAnsi" w:hAnsiTheme="majorHAnsi" w:cstheme="majorHAnsi"/>
          <w:color w:val="FF0000"/>
          <w:sz w:val="24"/>
          <w:szCs w:val="24"/>
        </w:rPr>
        <w:t xml:space="preserve">30 </w:t>
      </w:r>
      <w:r w:rsidR="00F25F8D" w:rsidRPr="00B214ED">
        <w:rPr>
          <w:rFonts w:asciiTheme="majorHAnsi" w:hAnsiTheme="majorHAnsi" w:cstheme="majorHAnsi"/>
          <w:color w:val="FF0000"/>
          <w:sz w:val="24"/>
          <w:szCs w:val="24"/>
        </w:rPr>
        <w:t xml:space="preserve">business </w:t>
      </w:r>
      <w:r w:rsidRPr="00B214ED">
        <w:rPr>
          <w:rFonts w:asciiTheme="majorHAnsi" w:hAnsiTheme="majorHAnsi" w:cstheme="majorHAnsi"/>
          <w:color w:val="FF0000"/>
          <w:sz w:val="24"/>
          <w:szCs w:val="24"/>
        </w:rPr>
        <w:t>days</w:t>
      </w:r>
      <w:r w:rsidR="00F25F8D" w:rsidRPr="00B214ED">
        <w:rPr>
          <w:rFonts w:asciiTheme="majorHAnsi" w:hAnsiTheme="majorHAnsi" w:cstheme="majorHAnsi"/>
          <w:color w:val="FF0000"/>
          <w:sz w:val="24"/>
          <w:szCs w:val="24"/>
        </w:rPr>
        <w:t xml:space="preserve"> of faculty filing the grievance at an administrative level</w:t>
      </w:r>
      <w:r w:rsidRPr="00B214ED">
        <w:rPr>
          <w:rFonts w:asciiTheme="majorHAnsi" w:hAnsiTheme="majorHAnsi" w:cstheme="majorHAnsi"/>
          <w:sz w:val="24"/>
          <w:szCs w:val="24"/>
        </w:rPr>
        <w:t>, the faculty member may refer the grievance to the next level.</w:t>
      </w:r>
    </w:p>
    <w:p w14:paraId="466D46BC" w14:textId="77777777" w:rsidR="00EA10D5" w:rsidRPr="008E259B" w:rsidRDefault="00EA10D5" w:rsidP="00D7535A">
      <w:pPr>
        <w:pStyle w:val="ListParagraph"/>
        <w:spacing w:after="0" w:line="240" w:lineRule="auto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693F6945" w14:textId="318C23E5" w:rsidR="00EA10D5" w:rsidRPr="00B214ED" w:rsidRDefault="00EA10D5" w:rsidP="00B214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14ED">
        <w:rPr>
          <w:rFonts w:asciiTheme="majorHAnsi" w:hAnsiTheme="majorHAnsi" w:cstheme="majorHAnsi"/>
          <w:sz w:val="24"/>
          <w:szCs w:val="24"/>
        </w:rPr>
        <w:t xml:space="preserve">Failing resolution of the grievance by the Provost, the faculty member may submit the grievance to the Professional Relations Committee of the Faculty Senate for review of the case; </w:t>
      </w:r>
      <w:r w:rsidRPr="00B214ED">
        <w:rPr>
          <w:rFonts w:asciiTheme="majorHAnsi" w:hAnsiTheme="majorHAnsi" w:cstheme="majorHAnsi"/>
          <w:color w:val="FF0000"/>
          <w:sz w:val="24"/>
          <w:szCs w:val="24"/>
        </w:rPr>
        <w:t>the Committee shall rule on the case</w:t>
      </w:r>
      <w:r w:rsidR="00F25F8D" w:rsidRPr="00B214E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B214ED">
        <w:rPr>
          <w:rFonts w:asciiTheme="majorHAnsi" w:hAnsiTheme="majorHAnsi" w:cstheme="majorHAnsi"/>
          <w:color w:val="FF0000"/>
          <w:sz w:val="24"/>
          <w:szCs w:val="24"/>
        </w:rPr>
        <w:t>and submit its recommendations to the President</w:t>
      </w:r>
      <w:r w:rsidR="00F25F8D" w:rsidRPr="00B214ED">
        <w:rPr>
          <w:rFonts w:asciiTheme="majorHAnsi" w:hAnsiTheme="majorHAnsi" w:cstheme="majorHAnsi"/>
          <w:color w:val="FF0000"/>
          <w:sz w:val="24"/>
          <w:szCs w:val="24"/>
        </w:rPr>
        <w:t xml:space="preserve"> within 90 days of the faculty filing the grievance with the Committee</w:t>
      </w:r>
      <w:r w:rsidR="00F25F8D" w:rsidRPr="00B214ED">
        <w:rPr>
          <w:rFonts w:asciiTheme="majorHAnsi" w:hAnsiTheme="majorHAnsi" w:cstheme="majorHAnsi"/>
          <w:sz w:val="24"/>
          <w:szCs w:val="24"/>
        </w:rPr>
        <w:t>.</w:t>
      </w:r>
      <w:r w:rsidRPr="00B214ED">
        <w:rPr>
          <w:rFonts w:asciiTheme="majorHAnsi" w:hAnsiTheme="majorHAnsi" w:cstheme="majorHAnsi"/>
          <w:sz w:val="24"/>
          <w:szCs w:val="24"/>
        </w:rPr>
        <w:t xml:space="preserve"> The recommendations of the Committee should be either sustained by the President or returned to the Committee </w:t>
      </w:r>
      <w:r w:rsidR="00F25F8D" w:rsidRPr="00B214ED">
        <w:rPr>
          <w:rFonts w:asciiTheme="majorHAnsi" w:hAnsiTheme="majorHAnsi" w:cstheme="majorHAnsi"/>
          <w:color w:val="FF0000"/>
          <w:sz w:val="24"/>
          <w:szCs w:val="24"/>
        </w:rPr>
        <w:t xml:space="preserve">with the objections specified within 30 days of the grievance recommendations being filed with the President by the Committee. </w:t>
      </w:r>
    </w:p>
    <w:p w14:paraId="6849C94D" w14:textId="77777777" w:rsidR="00B214ED" w:rsidRPr="00B214ED" w:rsidRDefault="00B214ED" w:rsidP="00B214ED">
      <w:pPr>
        <w:pStyle w:val="ListParagraph"/>
        <w:spacing w:after="0" w:line="240" w:lineRule="auto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309F9936" w14:textId="1CAF269E" w:rsidR="00EA10D5" w:rsidRPr="00B214ED" w:rsidRDefault="00EA10D5" w:rsidP="00B214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14ED">
        <w:rPr>
          <w:rFonts w:asciiTheme="majorHAnsi" w:hAnsiTheme="majorHAnsi" w:cstheme="majorHAnsi"/>
          <w:sz w:val="24"/>
          <w:szCs w:val="24"/>
        </w:rPr>
        <w:t>In the event that the President returns the recommendations with objections, the Committee should reconsider, taking account of the stated objections and</w:t>
      </w:r>
      <w:r w:rsidRPr="00B214E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9F1332" w:rsidRPr="00B214ED">
        <w:rPr>
          <w:rFonts w:asciiTheme="majorHAnsi" w:hAnsiTheme="majorHAnsi" w:cstheme="majorHAnsi"/>
          <w:color w:val="FF0000"/>
          <w:sz w:val="24"/>
          <w:szCs w:val="24"/>
        </w:rPr>
        <w:t>considering</w:t>
      </w:r>
      <w:r w:rsidR="009F1332" w:rsidRPr="00B214ED">
        <w:rPr>
          <w:rFonts w:asciiTheme="majorHAnsi" w:hAnsiTheme="majorHAnsi" w:cstheme="majorHAnsi"/>
          <w:sz w:val="24"/>
          <w:szCs w:val="24"/>
        </w:rPr>
        <w:t xml:space="preserve"> additional</w:t>
      </w:r>
      <w:r w:rsidR="003A5A5C" w:rsidRPr="00B214ED">
        <w:rPr>
          <w:rFonts w:asciiTheme="majorHAnsi" w:hAnsiTheme="majorHAnsi" w:cstheme="majorHAnsi"/>
          <w:color w:val="FF0000"/>
          <w:sz w:val="24"/>
          <w:szCs w:val="24"/>
        </w:rPr>
        <w:t xml:space="preserve"> information</w:t>
      </w:r>
      <w:r w:rsidRPr="00B214ED">
        <w:rPr>
          <w:rFonts w:asciiTheme="majorHAnsi" w:hAnsiTheme="majorHAnsi" w:cstheme="majorHAnsi"/>
          <w:sz w:val="24"/>
          <w:szCs w:val="24"/>
        </w:rPr>
        <w:t xml:space="preserve"> if necessary. The Committee </w:t>
      </w:r>
      <w:r w:rsidRPr="00B214ED">
        <w:rPr>
          <w:rFonts w:asciiTheme="majorHAnsi" w:hAnsiTheme="majorHAnsi" w:cstheme="majorHAnsi"/>
          <w:color w:val="FF0000"/>
          <w:sz w:val="24"/>
          <w:szCs w:val="24"/>
        </w:rPr>
        <w:t>sh</w:t>
      </w:r>
      <w:r w:rsidR="003A5A5C" w:rsidRPr="00B214ED">
        <w:rPr>
          <w:rFonts w:asciiTheme="majorHAnsi" w:hAnsiTheme="majorHAnsi" w:cstheme="majorHAnsi"/>
          <w:color w:val="FF0000"/>
          <w:sz w:val="24"/>
          <w:szCs w:val="24"/>
        </w:rPr>
        <w:t>all</w:t>
      </w:r>
      <w:r w:rsidR="003A5A5C" w:rsidRPr="00B214ED">
        <w:rPr>
          <w:rFonts w:asciiTheme="majorHAnsi" w:hAnsiTheme="majorHAnsi" w:cstheme="majorHAnsi"/>
          <w:sz w:val="24"/>
          <w:szCs w:val="24"/>
        </w:rPr>
        <w:t xml:space="preserve"> </w:t>
      </w:r>
      <w:r w:rsidRPr="00B214ED">
        <w:rPr>
          <w:rFonts w:asciiTheme="majorHAnsi" w:hAnsiTheme="majorHAnsi" w:cstheme="majorHAnsi"/>
          <w:sz w:val="24"/>
          <w:szCs w:val="24"/>
        </w:rPr>
        <w:t>frame its revised recommendations and communicate them</w:t>
      </w:r>
      <w:r w:rsidR="003A5A5C" w:rsidRPr="00B214ED">
        <w:rPr>
          <w:rFonts w:asciiTheme="majorHAnsi" w:hAnsiTheme="majorHAnsi" w:cstheme="majorHAnsi"/>
          <w:sz w:val="24"/>
          <w:szCs w:val="24"/>
        </w:rPr>
        <w:t xml:space="preserve"> </w:t>
      </w:r>
      <w:r w:rsidR="003A5A5C" w:rsidRPr="00B214ED">
        <w:rPr>
          <w:rFonts w:asciiTheme="majorHAnsi" w:hAnsiTheme="majorHAnsi" w:cstheme="majorHAnsi"/>
          <w:color w:val="FF0000"/>
          <w:sz w:val="24"/>
          <w:szCs w:val="24"/>
        </w:rPr>
        <w:t>to the President</w:t>
      </w:r>
      <w:r w:rsidRPr="00B214ED">
        <w:rPr>
          <w:rFonts w:asciiTheme="majorHAnsi" w:hAnsiTheme="majorHAnsi" w:cstheme="majorHAnsi"/>
          <w:sz w:val="24"/>
          <w:szCs w:val="24"/>
        </w:rPr>
        <w:t xml:space="preserve"> in the same manner as before. Only after study of </w:t>
      </w:r>
      <w:r w:rsidR="008E259B" w:rsidRPr="00B214ED">
        <w:rPr>
          <w:rFonts w:asciiTheme="majorHAnsi" w:hAnsiTheme="majorHAnsi" w:cstheme="majorHAnsi"/>
          <w:sz w:val="24"/>
          <w:szCs w:val="24"/>
        </w:rPr>
        <w:t xml:space="preserve"> </w:t>
      </w:r>
      <w:r w:rsidRPr="00B214ED">
        <w:rPr>
          <w:rFonts w:asciiTheme="majorHAnsi" w:hAnsiTheme="majorHAnsi" w:cstheme="majorHAnsi"/>
          <w:sz w:val="24"/>
          <w:szCs w:val="24"/>
        </w:rPr>
        <w:t>the Committee’s reconsideration should the President make a final decision overruling the Committee’s recommendation.</w:t>
      </w:r>
    </w:p>
    <w:p w14:paraId="48541F4E" w14:textId="77777777" w:rsidR="003A5A5C" w:rsidRPr="008E259B" w:rsidRDefault="003A5A5C" w:rsidP="00D7535A">
      <w:pPr>
        <w:spacing w:after="0"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5E41DAE3" w14:textId="2FD8F718" w:rsidR="003A5A5C" w:rsidRPr="00B214ED" w:rsidRDefault="003A5A5C" w:rsidP="00B214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B214ED">
        <w:rPr>
          <w:rFonts w:asciiTheme="majorHAnsi" w:hAnsiTheme="majorHAnsi" w:cstheme="majorHAnsi"/>
          <w:color w:val="FF0000"/>
          <w:sz w:val="24"/>
          <w:szCs w:val="24"/>
        </w:rPr>
        <w:t xml:space="preserve">The Committee shall communicate the decision in writing to the faculty member, the chair, the Dean, and the Provost within 30 days of the Committee receiving the president’s final response. </w:t>
      </w:r>
    </w:p>
    <w:p w14:paraId="75C56AE1" w14:textId="77777777" w:rsidR="005E5DB1" w:rsidRPr="008E259B" w:rsidRDefault="005E5DB1" w:rsidP="00D7535A">
      <w:pPr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sectPr w:rsidR="005E5DB1" w:rsidRPr="008E2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0924"/>
    <w:multiLevelType w:val="hybridMultilevel"/>
    <w:tmpl w:val="A51EE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A83BDC"/>
    <w:multiLevelType w:val="hybridMultilevel"/>
    <w:tmpl w:val="A6BAB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0090B"/>
    <w:multiLevelType w:val="hybridMultilevel"/>
    <w:tmpl w:val="BE3803AA"/>
    <w:lvl w:ilvl="0" w:tplc="0409000F">
      <w:start w:val="1"/>
      <w:numFmt w:val="decimal"/>
      <w:lvlText w:val="%1."/>
      <w:lvlJc w:val="left"/>
      <w:pPr>
        <w:ind w:left="14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919DE"/>
    <w:multiLevelType w:val="multilevel"/>
    <w:tmpl w:val="C8727B7C"/>
    <w:lvl w:ilvl="0">
      <w:start w:val="2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  <w:b/>
        <w:i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Calibri" w:hAnsi="Calibri" w:hint="default"/>
        <w:b/>
        <w:i w:val="0"/>
        <w:sz w:val="22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Calibri" w:hAnsi="Calibri" w:hint="default"/>
        <w:b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58913576">
    <w:abstractNumId w:val="3"/>
  </w:num>
  <w:num w:numId="2" w16cid:durableId="441415513">
    <w:abstractNumId w:val="1"/>
  </w:num>
  <w:num w:numId="3" w16cid:durableId="5134449">
    <w:abstractNumId w:val="2"/>
  </w:num>
  <w:num w:numId="4" w16cid:durableId="123767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D5"/>
    <w:rsid w:val="00235F5D"/>
    <w:rsid w:val="0032301D"/>
    <w:rsid w:val="003810E0"/>
    <w:rsid w:val="003A5A5C"/>
    <w:rsid w:val="004B5A4D"/>
    <w:rsid w:val="004E2DEF"/>
    <w:rsid w:val="005E5DB1"/>
    <w:rsid w:val="008E259B"/>
    <w:rsid w:val="009F1332"/>
    <w:rsid w:val="00AC60C4"/>
    <w:rsid w:val="00B072E0"/>
    <w:rsid w:val="00B214ED"/>
    <w:rsid w:val="00CC5D2F"/>
    <w:rsid w:val="00D7535A"/>
    <w:rsid w:val="00EA10D5"/>
    <w:rsid w:val="00F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76FD"/>
  <w15:chartTrackingRefBased/>
  <w15:docId w15:val="{D2D19F7F-404E-4FB2-86A6-6D6F9223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D5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0D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10D5"/>
    <w:rPr>
      <w:rFonts w:asciiTheme="majorHAnsi" w:eastAsiaTheme="majorEastAsia" w:hAnsiTheme="majorHAnsi" w:cstheme="majorBidi"/>
      <w:b/>
      <w:szCs w:val="28"/>
    </w:rPr>
  </w:style>
  <w:style w:type="paragraph" w:styleId="ListParagraph">
    <w:name w:val="List Paragraph"/>
    <w:basedOn w:val="Normal"/>
    <w:uiPriority w:val="34"/>
    <w:qFormat/>
    <w:rsid w:val="00EA10D5"/>
    <w:pPr>
      <w:ind w:left="720"/>
      <w:contextualSpacing/>
    </w:pPr>
  </w:style>
  <w:style w:type="character" w:styleId="Hyperlink">
    <w:name w:val="Hyperlink"/>
    <w:uiPriority w:val="99"/>
    <w:rsid w:val="00EA10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D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0D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D5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Char</dc:creator>
  <cp:keywords/>
  <dc:description/>
  <cp:lastModifiedBy>Brock, Angela</cp:lastModifiedBy>
  <cp:revision>2</cp:revision>
  <dcterms:created xsi:type="dcterms:W3CDTF">2022-03-07T14:28:00Z</dcterms:created>
  <dcterms:modified xsi:type="dcterms:W3CDTF">2022-03-07T14:28:00Z</dcterms:modified>
</cp:coreProperties>
</file>