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22AF" w14:textId="77777777" w:rsidR="008D4DA3" w:rsidRDefault="008D4DA3" w:rsidP="008D4DA3">
      <w:pPr>
        <w:spacing w:after="0" w:line="240" w:lineRule="auto"/>
        <w:jc w:val="center"/>
        <w:rPr>
          <w:b/>
        </w:rPr>
      </w:pPr>
      <w:r w:rsidRPr="004F74AA">
        <w:rPr>
          <w:b/>
        </w:rPr>
        <w:t xml:space="preserve">Resolution </w:t>
      </w:r>
    </w:p>
    <w:p w14:paraId="17094DA5" w14:textId="4B5B82FB" w:rsidR="008D4DA3" w:rsidRPr="00767183" w:rsidRDefault="008D4DA3" w:rsidP="008D4DA3">
      <w:pPr>
        <w:spacing w:after="0" w:line="240" w:lineRule="auto"/>
        <w:jc w:val="center"/>
        <w:rPr>
          <w:b/>
          <w:bCs/>
        </w:rPr>
      </w:pPr>
      <w:r>
        <w:rPr>
          <w:b/>
          <w:bCs/>
        </w:rPr>
        <w:t xml:space="preserve">Changes to FS Handbook P&amp;T language necessitated by </w:t>
      </w:r>
      <w:r w:rsidRPr="00767183">
        <w:rPr>
          <w:b/>
          <w:bCs/>
        </w:rPr>
        <w:t xml:space="preserve">One OHIO </w:t>
      </w:r>
    </w:p>
    <w:p w14:paraId="5AF48403" w14:textId="0EBF8F3C" w:rsidR="008D4DA3" w:rsidRDefault="008D4DA3" w:rsidP="008D4DA3">
      <w:pPr>
        <w:spacing w:after="0" w:line="240" w:lineRule="auto"/>
        <w:jc w:val="center"/>
        <w:rPr>
          <w:b/>
        </w:rPr>
      </w:pPr>
      <w:r w:rsidRPr="005361A6">
        <w:rPr>
          <w:b/>
        </w:rPr>
        <w:t>Professional Relations Committee</w:t>
      </w:r>
      <w:r>
        <w:rPr>
          <w:b/>
        </w:rPr>
        <w:t xml:space="preserve"> and Promotion and Tenure Committee</w:t>
      </w:r>
    </w:p>
    <w:p w14:paraId="71795575" w14:textId="77777777" w:rsidR="008D4DA3" w:rsidRPr="005361A6" w:rsidRDefault="008D4DA3" w:rsidP="008D4DA3">
      <w:pPr>
        <w:spacing w:after="0" w:line="240" w:lineRule="auto"/>
        <w:jc w:val="center"/>
        <w:rPr>
          <w:b/>
        </w:rPr>
      </w:pPr>
      <w:r>
        <w:rPr>
          <w:b/>
        </w:rPr>
        <w:t xml:space="preserve">First Reading </w:t>
      </w:r>
    </w:p>
    <w:p w14:paraId="56D058B2" w14:textId="77777777" w:rsidR="008D4DA3" w:rsidRPr="00CE1403" w:rsidRDefault="008D4DA3" w:rsidP="008D4DA3">
      <w:pPr>
        <w:spacing w:after="0" w:line="240" w:lineRule="auto"/>
        <w:jc w:val="center"/>
        <w:rPr>
          <w:b/>
        </w:rPr>
      </w:pPr>
      <w:r>
        <w:rPr>
          <w:b/>
        </w:rPr>
        <w:t>May 4, 2020</w:t>
      </w:r>
    </w:p>
    <w:p w14:paraId="11E793C9" w14:textId="77777777" w:rsidR="008D4DA3" w:rsidRDefault="008D4DA3" w:rsidP="008D4DA3"/>
    <w:p w14:paraId="0A58961C" w14:textId="65E6986F" w:rsidR="008D4DA3" w:rsidRPr="008D4DA3" w:rsidRDefault="008D4DA3" w:rsidP="008D4DA3">
      <w:r w:rsidRPr="00AA5DE0">
        <w:rPr>
          <w:b/>
          <w:bCs/>
        </w:rPr>
        <w:t>Whereas</w:t>
      </w:r>
      <w:r w:rsidRPr="00AA5DE0">
        <w:t xml:space="preserve"> </w:t>
      </w:r>
      <w:r>
        <w:t>One OHIO calls for the integration of regional faculty into appropriate departments/schools on the Athens campus,</w:t>
      </w:r>
    </w:p>
    <w:p w14:paraId="4523A606" w14:textId="509144B2" w:rsidR="00473DF0" w:rsidRPr="00AA5DE0" w:rsidRDefault="00473DF0" w:rsidP="00473DF0">
      <w:r w:rsidRPr="004D5532">
        <w:rPr>
          <w:b/>
          <w:bCs/>
        </w:rPr>
        <w:t>Whereas</w:t>
      </w:r>
      <w:r>
        <w:t xml:space="preserve"> Faculty Senate has passed resolutions on guiding principles for revising promotion and P&amp;T documents for One OHIO,</w:t>
      </w:r>
    </w:p>
    <w:p w14:paraId="038375C9" w14:textId="7871F3B3" w:rsidR="008D4DA3" w:rsidRDefault="008D4DA3" w:rsidP="008D4DA3">
      <w:pPr>
        <w:rPr>
          <w:b/>
          <w:bCs/>
        </w:rPr>
      </w:pPr>
      <w:r>
        <w:rPr>
          <w:b/>
          <w:bCs/>
        </w:rPr>
        <w:t xml:space="preserve">Whereas </w:t>
      </w:r>
      <w:r w:rsidRPr="00FA16B1">
        <w:t xml:space="preserve">the </w:t>
      </w:r>
      <w:r>
        <w:t>Faculty Handbook is now outdated with respect to language relating to promotion and promotion and tenure</w:t>
      </w:r>
      <w:r w:rsidRPr="00FA16B1">
        <w:t>,</w:t>
      </w:r>
    </w:p>
    <w:p w14:paraId="6DF971BF" w14:textId="77777777" w:rsidR="008D4DA3" w:rsidRDefault="008D4DA3" w:rsidP="008D4DA3"/>
    <w:p w14:paraId="158DAEEA" w14:textId="77777777" w:rsidR="008D4DA3" w:rsidRDefault="008D4DA3" w:rsidP="008D4DA3">
      <w:pPr>
        <w:rPr>
          <w:bCs/>
        </w:rPr>
      </w:pPr>
      <w:r>
        <w:rPr>
          <w:b/>
        </w:rPr>
        <w:t xml:space="preserve">Be it resolved </w:t>
      </w:r>
      <w:r w:rsidRPr="00314F63">
        <w:rPr>
          <w:bCs/>
        </w:rPr>
        <w:t xml:space="preserve">that </w:t>
      </w:r>
      <w:r>
        <w:rPr>
          <w:bCs/>
        </w:rPr>
        <w:t>the language in the faculty handbook be modified as indicated in the following sections to be in line with the One OHIO initiative.</w:t>
      </w:r>
    </w:p>
    <w:p w14:paraId="050BBBED" w14:textId="2E3532CA" w:rsidR="008D4DA3" w:rsidRDefault="008D4DA3"/>
    <w:p w14:paraId="388CC978" w14:textId="7784FA85" w:rsidR="008D4DA3" w:rsidRDefault="008D4DA3" w:rsidP="008D4DA3">
      <w:pPr>
        <w:spacing w:after="0" w:line="240" w:lineRule="auto"/>
      </w:pPr>
      <w:bookmarkStart w:id="0" w:name="_Hlk36464776"/>
      <w:r>
        <w:t>II.C.b.vi. Instructional</w:t>
      </w:r>
      <w:r w:rsidRPr="00547CCB">
        <w:t xml:space="preserve"> Faculty may be promoted (without tenure). Minimum criteria for consideration for promotion are outlined in </w:t>
      </w:r>
      <w:hyperlink w:anchor="II_C_3_b_vi_a_c" w:history="1">
        <w:r w:rsidRPr="004B3EA3">
          <w:rPr>
            <w:rStyle w:val="Hyperlink"/>
          </w:rPr>
          <w:t>II.C.3.b.vi.a-c</w:t>
        </w:r>
      </w:hyperlink>
      <w:r w:rsidRPr="00547CCB">
        <w:t xml:space="preserve">; these are minimum criteria for consideration for promotion. Departments </w:t>
      </w:r>
      <w:r>
        <w:t xml:space="preserve">and </w:t>
      </w:r>
      <w:r w:rsidRPr="00547CCB">
        <w:t>schools</w:t>
      </w:r>
      <w:r>
        <w:t xml:space="preserve"> </w:t>
      </w:r>
      <w:r w:rsidRPr="008D4DA3">
        <w:rPr>
          <w:strike/>
        </w:rPr>
        <w:t>and regional campuses</w:t>
      </w:r>
      <w:r>
        <w:t xml:space="preserve"> </w:t>
      </w:r>
      <w:r w:rsidRPr="00547CCB">
        <w:t>may establish more stringent criteria for promotion.</w:t>
      </w:r>
    </w:p>
    <w:p w14:paraId="0C19E587" w14:textId="77777777" w:rsidR="008D4DA3" w:rsidRPr="00547CCB" w:rsidRDefault="008D4DA3" w:rsidP="008D4DA3">
      <w:pPr>
        <w:pStyle w:val="ListParagraph"/>
        <w:spacing w:after="0" w:line="240" w:lineRule="auto"/>
        <w:ind w:left="1800"/>
      </w:pPr>
    </w:p>
    <w:p w14:paraId="3BBBD239" w14:textId="1BF7BEF5" w:rsidR="008D4DA3" w:rsidRDefault="008D4DA3" w:rsidP="008D4DA3">
      <w:pPr>
        <w:pStyle w:val="ListParagraph"/>
        <w:spacing w:after="0" w:line="240" w:lineRule="auto"/>
        <w:ind w:left="540"/>
      </w:pPr>
      <w:bookmarkStart w:id="1" w:name="_Hlk36465060"/>
      <w:bookmarkEnd w:id="0"/>
      <w:r>
        <w:t xml:space="preserve">II.C.b.vi.c.  </w:t>
      </w:r>
      <w:r w:rsidRPr="00547CCB">
        <w:t>If departments, schools,</w:t>
      </w:r>
      <w:r>
        <w:t xml:space="preserve"> </w:t>
      </w:r>
      <w:r w:rsidRPr="008D4DA3">
        <w:rPr>
          <w:strike/>
        </w:rPr>
        <w:t>divisions,</w:t>
      </w:r>
      <w:r>
        <w:t xml:space="preserve"> and </w:t>
      </w:r>
      <w:r w:rsidRPr="00547CCB">
        <w:t>colleges</w:t>
      </w:r>
      <w:r>
        <w:t xml:space="preserve"> </w:t>
      </w:r>
      <w:r w:rsidRPr="008D4DA3">
        <w:rPr>
          <w:strike/>
        </w:rPr>
        <w:t>and regional campuses</w:t>
      </w:r>
      <w:r>
        <w:t xml:space="preserve"> </w:t>
      </w:r>
      <w:r w:rsidRPr="00547CCB">
        <w:t xml:space="preserve">adopt more stringent criteria for promotion than those outlined above (a-c), such criteria should emerge from a faculty committee. </w:t>
      </w:r>
      <w:bookmarkStart w:id="2" w:name="_Hlk38955068"/>
      <w:bookmarkEnd w:id="1"/>
      <w:r w:rsidRPr="00547CCB">
        <w:t xml:space="preserve">That committee should have </w:t>
      </w:r>
      <w:r>
        <w:t>Tenure track</w:t>
      </w:r>
      <w:r w:rsidR="004633DE">
        <w:t xml:space="preserve"> </w:t>
      </w:r>
      <w:r w:rsidR="004633DE" w:rsidRPr="004633DE">
        <w:rPr>
          <w:highlight w:val="lightGray"/>
        </w:rPr>
        <w:t>and</w:t>
      </w:r>
      <w:r w:rsidRPr="00547CCB">
        <w:t xml:space="preserve"> </w:t>
      </w:r>
      <w:r>
        <w:t>Instructional faculty</w:t>
      </w:r>
      <w:r w:rsidRPr="00547CCB">
        <w:t xml:space="preserve"> </w:t>
      </w:r>
      <w:r w:rsidR="004633DE" w:rsidRPr="004633DE">
        <w:rPr>
          <w:highlight w:val="lightGray"/>
        </w:rPr>
        <w:t xml:space="preserve">with </w:t>
      </w:r>
      <w:r w:rsidR="001C0BED" w:rsidRPr="004633DE">
        <w:rPr>
          <w:highlight w:val="lightGray"/>
        </w:rPr>
        <w:t xml:space="preserve">all </w:t>
      </w:r>
      <w:r w:rsidR="001C0BED" w:rsidRPr="00571FCD">
        <w:rPr>
          <w:highlight w:val="lightGray"/>
        </w:rPr>
        <w:t xml:space="preserve">campuses within the department </w:t>
      </w:r>
      <w:r w:rsidRPr="00571FCD">
        <w:rPr>
          <w:highlight w:val="lightGray"/>
        </w:rPr>
        <w:t>represent</w:t>
      </w:r>
      <w:r w:rsidR="001C0BED" w:rsidRPr="00571FCD">
        <w:rPr>
          <w:highlight w:val="lightGray"/>
        </w:rPr>
        <w:t>ed</w:t>
      </w:r>
      <w:r w:rsidRPr="00547CCB">
        <w:t xml:space="preserve"> and should be in consultation with </w:t>
      </w:r>
      <w:r w:rsidR="00571FCD">
        <w:t>the</w:t>
      </w:r>
      <w:r w:rsidRPr="00547CCB">
        <w:t xml:space="preserve"> chair or dean. Any</w:t>
      </w:r>
      <w:bookmarkEnd w:id="2"/>
      <w:r w:rsidRPr="00547CCB">
        <w:t xml:space="preserve"> revised or new criteria that are proposed from that committee must be approved by a majority of </w:t>
      </w:r>
      <w:r>
        <w:t>Tenure track</w:t>
      </w:r>
      <w:r w:rsidRPr="00547CCB">
        <w:t xml:space="preserve"> and a majority of </w:t>
      </w:r>
      <w:r>
        <w:t>Instructional</w:t>
      </w:r>
      <w:r w:rsidRPr="00547CCB">
        <w:t xml:space="preserve"> faculty voting separately who shall vote up or down. (Criteria approved and announced prior to July 2015 shall not be subject to a new vote.) In the event of an impasse between the department, school, </w:t>
      </w:r>
      <w:r w:rsidRPr="008D4DA3">
        <w:rPr>
          <w:strike/>
        </w:rPr>
        <w:t>division</w:t>
      </w:r>
      <w:r w:rsidRPr="00547CCB">
        <w:t xml:space="preserve"> or the college faculty and the dean regarding promotion criteria changes, the standing Committee on Promotion and Tenure of the Faculty Senate shall act as arbiter. Following promotion criteria revision, units are encouraged to provide a grace period in which faculty already employed at Ohio University may elect to be considered under the earlier criteria as outlined in </w:t>
      </w:r>
      <w:hyperlink w:anchor="Appendix_IX_F" w:history="1">
        <w:r w:rsidRPr="004B3EA3">
          <w:rPr>
            <w:rStyle w:val="Hyperlink"/>
          </w:rPr>
          <w:t>Appendix IX.F</w:t>
        </w:r>
      </w:hyperlink>
      <w:r w:rsidRPr="00547CCB">
        <w:t>.</w:t>
      </w:r>
    </w:p>
    <w:p w14:paraId="56CB9272" w14:textId="77777777" w:rsidR="00473DF0" w:rsidRDefault="00473DF0" w:rsidP="00473DF0">
      <w:pPr>
        <w:spacing w:after="0" w:line="240" w:lineRule="auto"/>
      </w:pPr>
    </w:p>
    <w:p w14:paraId="76DCA38C" w14:textId="0AC776D6" w:rsidR="00473DF0" w:rsidRDefault="00473DF0" w:rsidP="00473DF0">
      <w:pPr>
        <w:spacing w:after="0" w:line="240" w:lineRule="auto"/>
      </w:pPr>
      <w:r>
        <w:t xml:space="preserve">II.C.6.d. </w:t>
      </w:r>
      <w:r w:rsidRPr="00547CCB">
        <w:t>The criteria used to make decisions on promotion and tenure must originate in the department</w:t>
      </w:r>
      <w:r w:rsidR="00794E70">
        <w:t xml:space="preserve"> or </w:t>
      </w:r>
      <w:r w:rsidRPr="00547CCB">
        <w:t>school</w:t>
      </w:r>
      <w:r w:rsidRPr="00571FCD">
        <w:rPr>
          <w:strike/>
        </w:rPr>
        <w:t>, or division</w:t>
      </w:r>
      <w:r w:rsidRPr="00547CCB">
        <w:t xml:space="preserve"> in consultation with the dean. Faculty should review these criteria periodically (at least every five years) in consultation with the dean of the college</w:t>
      </w:r>
      <w:r>
        <w:t xml:space="preserve"> </w:t>
      </w:r>
      <w:r w:rsidRPr="00473DF0">
        <w:rPr>
          <w:strike/>
        </w:rPr>
        <w:t>or regional campus</w:t>
      </w:r>
      <w:r w:rsidRPr="00547CCB">
        <w:t xml:space="preserve">. These criteria and any changes made to them must be approved by a majority of the </w:t>
      </w:r>
      <w:r>
        <w:t>Tenure-track</w:t>
      </w:r>
      <w:r w:rsidRPr="00547CCB">
        <w:t xml:space="preserve"> faculty of the department</w:t>
      </w:r>
      <w:r>
        <w:t xml:space="preserve"> or </w:t>
      </w:r>
      <w:r w:rsidRPr="00547CCB">
        <w:t>school</w:t>
      </w:r>
      <w:r>
        <w:t xml:space="preserve"> </w:t>
      </w:r>
      <w:r w:rsidRPr="00473DF0">
        <w:rPr>
          <w:strike/>
        </w:rPr>
        <w:t>or division</w:t>
      </w:r>
      <w:r w:rsidRPr="00547CCB">
        <w:t>. In the event of an impasse between the department</w:t>
      </w:r>
      <w:r>
        <w:t xml:space="preserve"> or </w:t>
      </w:r>
      <w:r w:rsidRPr="00547CCB">
        <w:t>school</w:t>
      </w:r>
      <w:r w:rsidRPr="00473DF0">
        <w:rPr>
          <w:strike/>
        </w:rPr>
        <w:t>/ division</w:t>
      </w:r>
      <w:r w:rsidRPr="00547CCB">
        <w:t xml:space="preserve"> and the dean, the standing Committee on Promotion and Tenure of the Faculty Senate shall act as arbiter.</w:t>
      </w:r>
    </w:p>
    <w:p w14:paraId="097B3C2E" w14:textId="77777777" w:rsidR="00473DF0" w:rsidRPr="00547CCB" w:rsidRDefault="00473DF0" w:rsidP="00473DF0">
      <w:pPr>
        <w:pStyle w:val="ListParagraph"/>
        <w:spacing w:after="0" w:line="240" w:lineRule="auto"/>
        <w:ind w:left="1440"/>
      </w:pPr>
    </w:p>
    <w:p w14:paraId="57C0702D" w14:textId="18D2ED2A" w:rsidR="00473DF0" w:rsidRPr="00547CCB" w:rsidRDefault="00473DF0" w:rsidP="00473DF0">
      <w:pPr>
        <w:pStyle w:val="ListParagraph"/>
        <w:spacing w:after="0" w:line="240" w:lineRule="auto"/>
        <w:ind w:left="1080"/>
      </w:pPr>
      <w:r w:rsidRPr="00547CCB">
        <w:t xml:space="preserve">If a college </w:t>
      </w:r>
      <w:r w:rsidRPr="00803032">
        <w:rPr>
          <w:strike/>
        </w:rPr>
        <w:t>or regional</w:t>
      </w:r>
      <w:r w:rsidR="00803032" w:rsidRPr="00803032">
        <w:rPr>
          <w:strike/>
        </w:rPr>
        <w:t xml:space="preserve"> campus</w:t>
      </w:r>
      <w:r w:rsidR="00803032">
        <w:t xml:space="preserve"> </w:t>
      </w:r>
      <w:r w:rsidRPr="00547CCB">
        <w:t xml:space="preserve">has written promotion and tenure criteria, these criteria and any changes made to them should originate in meetings of faculty, as a whole or by </w:t>
      </w:r>
      <w:r w:rsidRPr="00547CCB">
        <w:lastRenderedPageBreak/>
        <w:t xml:space="preserve">committee in consultation with the dean. The criteria and any changes made to them must be approved by the </w:t>
      </w:r>
      <w:r>
        <w:t>Tenure -track</w:t>
      </w:r>
      <w:r w:rsidRPr="00547CCB">
        <w:t xml:space="preserve"> faculty in the college</w:t>
      </w:r>
      <w:r w:rsidR="00803032">
        <w:t xml:space="preserve"> </w:t>
      </w:r>
      <w:r w:rsidR="00803032" w:rsidRPr="00803032">
        <w:rPr>
          <w:strike/>
        </w:rPr>
        <w:t>or campus</w:t>
      </w:r>
      <w:r w:rsidRPr="00547CCB">
        <w:t>. In the event of an impasse between the college faculty and the dean, the standing Committee on Promotion and Tenure of the Faculty Senate shall act as arbiter.</w:t>
      </w:r>
    </w:p>
    <w:p w14:paraId="49EA31FE" w14:textId="0C9C426C" w:rsidR="008D4DA3" w:rsidRDefault="008D4DA3"/>
    <w:sectPr w:rsidR="008D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80E0CD2"/>
    <w:multiLevelType w:val="multilevel"/>
    <w:tmpl w:val="6B16BA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right"/>
      <w:pPr>
        <w:ind w:left="108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7B"/>
    <w:rsid w:val="00003B3F"/>
    <w:rsid w:val="001C0BED"/>
    <w:rsid w:val="001E407A"/>
    <w:rsid w:val="0025121E"/>
    <w:rsid w:val="004633DE"/>
    <w:rsid w:val="00473DF0"/>
    <w:rsid w:val="00571FCD"/>
    <w:rsid w:val="00794E70"/>
    <w:rsid w:val="00803032"/>
    <w:rsid w:val="008543C2"/>
    <w:rsid w:val="008D4DA3"/>
    <w:rsid w:val="0098107B"/>
    <w:rsid w:val="00A57FD3"/>
    <w:rsid w:val="00A717EB"/>
    <w:rsid w:val="00C3337E"/>
    <w:rsid w:val="00FB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8838"/>
  <w15:chartTrackingRefBased/>
  <w15:docId w15:val="{11250AA4-9929-4DF2-AC2A-7FA2E42E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A3"/>
    <w:pPr>
      <w:ind w:left="720"/>
      <w:contextualSpacing/>
    </w:pPr>
    <w:rPr>
      <w:rFonts w:eastAsiaTheme="minorEastAsia"/>
    </w:rPr>
  </w:style>
  <w:style w:type="character" w:styleId="Hyperlink">
    <w:name w:val="Hyperlink"/>
    <w:uiPriority w:val="99"/>
    <w:rsid w:val="008D4DA3"/>
    <w:rPr>
      <w:color w:val="0000FF"/>
      <w:u w:val="single"/>
    </w:rPr>
  </w:style>
  <w:style w:type="paragraph" w:styleId="BalloonText">
    <w:name w:val="Balloon Text"/>
    <w:basedOn w:val="Normal"/>
    <w:link w:val="BalloonTextChar"/>
    <w:uiPriority w:val="99"/>
    <w:semiHidden/>
    <w:unhideWhenUsed/>
    <w:rsid w:val="008D4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A3"/>
    <w:rPr>
      <w:rFonts w:ascii="Segoe UI" w:hAnsi="Segoe UI" w:cs="Segoe UI"/>
      <w:sz w:val="18"/>
      <w:szCs w:val="18"/>
    </w:rPr>
  </w:style>
  <w:style w:type="paragraph" w:styleId="CommentText">
    <w:name w:val="annotation text"/>
    <w:basedOn w:val="Normal"/>
    <w:link w:val="CommentTextChar"/>
    <w:uiPriority w:val="99"/>
    <w:semiHidden/>
    <w:unhideWhenUsed/>
    <w:rsid w:val="00473DF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73DF0"/>
    <w:rPr>
      <w:rFonts w:eastAsiaTheme="minorEastAsia"/>
      <w:sz w:val="20"/>
      <w:szCs w:val="20"/>
    </w:rPr>
  </w:style>
  <w:style w:type="character" w:styleId="CommentReference">
    <w:name w:val="annotation reference"/>
    <w:basedOn w:val="DefaultParagraphFont"/>
    <w:uiPriority w:val="99"/>
    <w:semiHidden/>
    <w:unhideWhenUsed/>
    <w:rsid w:val="00473D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Sarah</dc:creator>
  <cp:keywords/>
  <dc:description/>
  <cp:lastModifiedBy>Brock, Angela</cp:lastModifiedBy>
  <cp:revision>2</cp:revision>
  <dcterms:created xsi:type="dcterms:W3CDTF">2020-05-11T18:30:00Z</dcterms:created>
  <dcterms:modified xsi:type="dcterms:W3CDTF">2020-05-11T18:30:00Z</dcterms:modified>
</cp:coreProperties>
</file>