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13A5ED" w:rsidR="008F05E2" w:rsidRPr="00880CF9" w:rsidRDefault="00426431" w:rsidP="009723B6">
      <w:pPr>
        <w:jc w:val="center"/>
        <w:rPr>
          <w:rFonts w:ascii="Times New Roman" w:hAnsi="Times New Roman" w:cs="Times New Roman"/>
          <w:b/>
          <w:u w:val="single"/>
        </w:rPr>
      </w:pPr>
      <w:r w:rsidRPr="00880CF9">
        <w:rPr>
          <w:rFonts w:ascii="Times New Roman" w:hAnsi="Times New Roman" w:cs="Times New Roman"/>
          <w:b/>
        </w:rPr>
        <w:t xml:space="preserve">Resolution to </w:t>
      </w:r>
      <w:r w:rsidR="00041C01">
        <w:rPr>
          <w:rFonts w:ascii="Times New Roman" w:hAnsi="Times New Roman" w:cs="Times New Roman"/>
          <w:b/>
        </w:rPr>
        <w:t>Change University-Level Promotion and/or Tenure Requirements</w:t>
      </w:r>
    </w:p>
    <w:p w14:paraId="00000003" w14:textId="6A699F2B" w:rsidR="008F05E2" w:rsidRPr="00880CF9" w:rsidRDefault="00041C01" w:rsidP="009723B6">
      <w:pPr>
        <w:jc w:val="center"/>
        <w:rPr>
          <w:rFonts w:ascii="Times New Roman" w:hAnsi="Times New Roman" w:cs="Times New Roman"/>
        </w:rPr>
      </w:pPr>
      <w:r>
        <w:rPr>
          <w:rFonts w:ascii="Times New Roman" w:hAnsi="Times New Roman" w:cs="Times New Roman"/>
        </w:rPr>
        <w:t>Promotion and Tenure</w:t>
      </w:r>
      <w:r w:rsidR="00880CF9" w:rsidRPr="00880CF9">
        <w:rPr>
          <w:rFonts w:ascii="Times New Roman" w:hAnsi="Times New Roman" w:cs="Times New Roman"/>
        </w:rPr>
        <w:t xml:space="preserve"> </w:t>
      </w:r>
      <w:r w:rsidR="006C3662">
        <w:rPr>
          <w:rFonts w:ascii="Times New Roman" w:hAnsi="Times New Roman" w:cs="Times New Roman"/>
        </w:rPr>
        <w:t xml:space="preserve">(P&amp;T) </w:t>
      </w:r>
      <w:r w:rsidR="00880CF9" w:rsidRPr="00880CF9">
        <w:rPr>
          <w:rFonts w:ascii="Times New Roman" w:hAnsi="Times New Roman" w:cs="Times New Roman"/>
        </w:rPr>
        <w:t>Committee</w:t>
      </w:r>
    </w:p>
    <w:p w14:paraId="00000004" w14:textId="20741315" w:rsidR="008F05E2" w:rsidRDefault="00426431" w:rsidP="009723B6">
      <w:pPr>
        <w:jc w:val="center"/>
        <w:rPr>
          <w:rFonts w:ascii="Times New Roman" w:hAnsi="Times New Roman" w:cs="Times New Roman"/>
        </w:rPr>
      </w:pPr>
      <w:r w:rsidRPr="00880CF9">
        <w:rPr>
          <w:rFonts w:ascii="Times New Roman" w:hAnsi="Times New Roman" w:cs="Times New Roman"/>
        </w:rPr>
        <w:t>Faculty Senate</w:t>
      </w:r>
    </w:p>
    <w:p w14:paraId="355B1AD1" w14:textId="65B980F2" w:rsidR="006C3662" w:rsidRDefault="00FA1C4B" w:rsidP="009723B6">
      <w:pPr>
        <w:jc w:val="center"/>
        <w:rPr>
          <w:rFonts w:ascii="Times New Roman" w:hAnsi="Times New Roman" w:cs="Times New Roman"/>
        </w:rPr>
      </w:pPr>
      <w:r>
        <w:rPr>
          <w:rFonts w:ascii="Times New Roman" w:hAnsi="Times New Roman" w:cs="Times New Roman"/>
        </w:rPr>
        <w:t>February 12</w:t>
      </w:r>
      <w:r w:rsidR="006C3662">
        <w:rPr>
          <w:rFonts w:ascii="Times New Roman" w:hAnsi="Times New Roman" w:cs="Times New Roman"/>
        </w:rPr>
        <w:t>, 2024 Meeting</w:t>
      </w:r>
    </w:p>
    <w:p w14:paraId="50D79B77" w14:textId="668CC331" w:rsidR="006C3662" w:rsidRPr="00880CF9" w:rsidRDefault="00FA1C4B" w:rsidP="009723B6">
      <w:pPr>
        <w:jc w:val="center"/>
        <w:rPr>
          <w:rFonts w:ascii="Times New Roman" w:hAnsi="Times New Roman" w:cs="Times New Roman"/>
        </w:rPr>
      </w:pPr>
      <w:r>
        <w:rPr>
          <w:rFonts w:ascii="Times New Roman" w:hAnsi="Times New Roman" w:cs="Times New Roman"/>
        </w:rPr>
        <w:t>Third</w:t>
      </w:r>
      <w:r w:rsidR="006C3662">
        <w:rPr>
          <w:rFonts w:ascii="Times New Roman" w:hAnsi="Times New Roman" w:cs="Times New Roman"/>
        </w:rPr>
        <w:t xml:space="preserve"> Reading</w:t>
      </w:r>
    </w:p>
    <w:p w14:paraId="200CD23D" w14:textId="53235265" w:rsidR="006E0B8E" w:rsidRPr="00880CF9" w:rsidRDefault="006E0B8E" w:rsidP="009723B6">
      <w:pPr>
        <w:jc w:val="center"/>
        <w:rPr>
          <w:rFonts w:ascii="Times New Roman" w:hAnsi="Times New Roman" w:cs="Times New Roman"/>
        </w:rPr>
      </w:pPr>
      <w:r w:rsidRPr="00880CF9">
        <w:rPr>
          <w:rFonts w:ascii="Times New Roman" w:hAnsi="Times New Roman" w:cs="Times New Roman"/>
        </w:rPr>
        <w:t>Ohio University</w:t>
      </w:r>
    </w:p>
    <w:p w14:paraId="0D1CCA81" w14:textId="43647948" w:rsidR="00B95057" w:rsidRPr="00880CF9" w:rsidRDefault="00B95057" w:rsidP="006C3662">
      <w:pPr>
        <w:rPr>
          <w:rFonts w:ascii="Times New Roman" w:hAnsi="Times New Roman" w:cs="Times New Roman"/>
        </w:rPr>
      </w:pPr>
    </w:p>
    <w:p w14:paraId="00000007" w14:textId="77777777" w:rsidR="008F05E2" w:rsidRPr="00880CF9" w:rsidRDefault="008F05E2">
      <w:pPr>
        <w:pBdr>
          <w:top w:val="nil"/>
          <w:left w:val="nil"/>
          <w:bottom w:val="nil"/>
          <w:right w:val="nil"/>
          <w:between w:val="nil"/>
        </w:pBdr>
        <w:spacing w:before="8"/>
        <w:rPr>
          <w:rFonts w:ascii="Times New Roman" w:hAnsi="Times New Roman" w:cs="Times New Roman"/>
          <w:i/>
          <w:color w:val="000000"/>
        </w:rPr>
      </w:pPr>
    </w:p>
    <w:p w14:paraId="54570E59"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 xml:space="preserve">the 2021-22 Teaching Excellence project team of the Teaching, Learning, and Assessment (TLA) Committee submitted a report recommending six descriptors (i.e., well-designed, well-delivered, inclusive, learner-focused, reflective, and evolving) and eight criteria (i.e., preparation, engagement, inclusion, subject expertise, pedagogical competence, outcome, improvement, and adaptability/innovation) for conceptualizing teaching excellence at Ohio University in a report titled </w:t>
      </w:r>
      <w:r w:rsidRPr="00BA58D1">
        <w:rPr>
          <w:rStyle w:val="normaltextrun"/>
          <w:sz w:val="22"/>
          <w:szCs w:val="22"/>
          <w:u w:val="single"/>
        </w:rPr>
        <w:t>Conceptualizing Teaching Excellence at Ohio University</w:t>
      </w:r>
      <w:r w:rsidRPr="00BA58D1">
        <w:rPr>
          <w:rStyle w:val="normaltextrun"/>
          <w:sz w:val="22"/>
          <w:szCs w:val="22"/>
        </w:rPr>
        <w:t>.</w:t>
      </w:r>
      <w:r w:rsidRPr="00BA58D1">
        <w:rPr>
          <w:rStyle w:val="eop"/>
          <w:sz w:val="22"/>
          <w:szCs w:val="22"/>
        </w:rPr>
        <w:t> </w:t>
      </w:r>
    </w:p>
    <w:p w14:paraId="2ACE4041"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4583C1DF"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the Ohio University Faculty Senate passed the “Resolution to Endorse the Project Report Conceptualizing Teaching Excellence at Ohio University” in December 2022.</w:t>
      </w:r>
      <w:r w:rsidRPr="00BA58D1">
        <w:rPr>
          <w:rStyle w:val="eop"/>
          <w:sz w:val="22"/>
          <w:szCs w:val="22"/>
        </w:rPr>
        <w:t> </w:t>
      </w:r>
    </w:p>
    <w:p w14:paraId="6AB1740E"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34BE3A71"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 xml:space="preserve">Whereas </w:t>
      </w:r>
      <w:r w:rsidRPr="00BA58D1">
        <w:rPr>
          <w:rStyle w:val="normaltextrun"/>
          <w:sz w:val="22"/>
          <w:szCs w:val="22"/>
        </w:rPr>
        <w:t>the “Resolution to Endorse the Project Report Conceptualizing Teaching Excellence at Ohio University” authorized the TLA committee to recommend changes to university policies and practices for operationalizing the endorsed conceptualization of teaching excellence.</w:t>
      </w:r>
      <w:r w:rsidRPr="00BA58D1">
        <w:rPr>
          <w:rStyle w:val="eop"/>
          <w:sz w:val="22"/>
          <w:szCs w:val="22"/>
        </w:rPr>
        <w:t> </w:t>
      </w:r>
    </w:p>
    <w:p w14:paraId="00D4D679"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00349622"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Whereas</w:t>
      </w:r>
      <w:r w:rsidRPr="00BA58D1">
        <w:rPr>
          <w:rStyle w:val="normaltextrun"/>
          <w:sz w:val="22"/>
          <w:szCs w:val="22"/>
        </w:rPr>
        <w:t xml:space="preserve"> the 2022-23 TLA Committee recommended modifications to university policies and practices in to document, support, and measure teaching excellence across the university in a report titled </w:t>
      </w:r>
      <w:r w:rsidRPr="00BA58D1">
        <w:rPr>
          <w:rStyle w:val="normaltextrun"/>
          <w:sz w:val="22"/>
          <w:szCs w:val="22"/>
          <w:u w:val="single"/>
        </w:rPr>
        <w:t>Measuring, Documenting, and Supporting Teaching Excellence at Ohio University</w:t>
      </w:r>
      <w:r w:rsidRPr="00BA58D1">
        <w:rPr>
          <w:rStyle w:val="normaltextrun"/>
          <w:sz w:val="22"/>
          <w:szCs w:val="22"/>
        </w:rPr>
        <w:t>. </w:t>
      </w:r>
      <w:r w:rsidRPr="00BA58D1">
        <w:rPr>
          <w:rStyle w:val="eop"/>
          <w:sz w:val="22"/>
          <w:szCs w:val="22"/>
        </w:rPr>
        <w:t> </w:t>
      </w:r>
    </w:p>
    <w:p w14:paraId="7C705657"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7CAD3196" w14:textId="6015422F" w:rsidR="00743B92" w:rsidRPr="00BA58D1" w:rsidRDefault="00743B92" w:rsidP="00743B92">
      <w:pPr>
        <w:pStyle w:val="paragraph"/>
        <w:spacing w:before="0" w:beforeAutospacing="0" w:after="0" w:afterAutospacing="0"/>
        <w:textAlignment w:val="baseline"/>
        <w:rPr>
          <w:sz w:val="22"/>
          <w:szCs w:val="22"/>
        </w:rPr>
      </w:pPr>
      <w:r w:rsidRPr="00BA58D1">
        <w:rPr>
          <w:rStyle w:val="normaltextrun"/>
          <w:i/>
          <w:iCs/>
          <w:sz w:val="22"/>
          <w:szCs w:val="22"/>
        </w:rPr>
        <w:t>Whereas</w:t>
      </w:r>
      <w:r w:rsidRPr="00BA58D1">
        <w:rPr>
          <w:rStyle w:val="normaltextrun"/>
          <w:sz w:val="22"/>
          <w:szCs w:val="22"/>
        </w:rPr>
        <w:t xml:space="preserve"> the </w:t>
      </w:r>
      <w:r w:rsidRPr="00BA58D1">
        <w:rPr>
          <w:rStyle w:val="normaltextrun"/>
          <w:sz w:val="22"/>
          <w:szCs w:val="22"/>
          <w:u w:val="single"/>
        </w:rPr>
        <w:t>Measuring, Documenting, and Supporting Teaching Excellence at Ohio University</w:t>
      </w:r>
      <w:r w:rsidRPr="00BA58D1">
        <w:rPr>
          <w:rStyle w:val="normaltextrun"/>
          <w:sz w:val="22"/>
          <w:szCs w:val="22"/>
        </w:rPr>
        <w:t xml:space="preserve"> report recommended encouraging the use of evidence of teaching excellence from a variety of sources, including the professor</w:t>
      </w:r>
      <w:r w:rsidR="001C1102">
        <w:rPr>
          <w:rStyle w:val="normaltextrun"/>
          <w:sz w:val="22"/>
          <w:szCs w:val="22"/>
        </w:rPr>
        <w:t>s</w:t>
      </w:r>
      <w:r w:rsidRPr="00BA58D1">
        <w:rPr>
          <w:rStyle w:val="normaltextrun"/>
          <w:sz w:val="22"/>
          <w:szCs w:val="22"/>
        </w:rPr>
        <w:t xml:space="preserve">, students, colleagues/peers, academic leaders, and/or </w:t>
      </w:r>
      <w:r w:rsidR="001C1102">
        <w:rPr>
          <w:rStyle w:val="normaltextrun"/>
          <w:sz w:val="22"/>
          <w:szCs w:val="22"/>
        </w:rPr>
        <w:t xml:space="preserve">other </w:t>
      </w:r>
      <w:r w:rsidRPr="00BA58D1">
        <w:rPr>
          <w:rStyle w:val="normaltextrun"/>
          <w:sz w:val="22"/>
          <w:szCs w:val="22"/>
        </w:rPr>
        <w:t>stakeholders</w:t>
      </w:r>
      <w:r w:rsidR="001C1102">
        <w:rPr>
          <w:rStyle w:val="normaltextrun"/>
          <w:sz w:val="22"/>
          <w:szCs w:val="22"/>
        </w:rPr>
        <w:t xml:space="preserve"> for promotion and/or tenure considerations.</w:t>
      </w:r>
    </w:p>
    <w:p w14:paraId="1B54441A" w14:textId="77777777" w:rsidR="00743B92" w:rsidRPr="00BA58D1" w:rsidRDefault="00743B92" w:rsidP="00743B92">
      <w:pPr>
        <w:pStyle w:val="paragraph"/>
        <w:spacing w:before="0" w:beforeAutospacing="0" w:after="0" w:afterAutospacing="0"/>
        <w:textAlignment w:val="baseline"/>
        <w:rPr>
          <w:sz w:val="22"/>
          <w:szCs w:val="22"/>
        </w:rPr>
      </w:pPr>
      <w:r w:rsidRPr="00BA58D1">
        <w:rPr>
          <w:rStyle w:val="eop"/>
          <w:sz w:val="22"/>
          <w:szCs w:val="22"/>
        </w:rPr>
        <w:t> </w:t>
      </w:r>
    </w:p>
    <w:p w14:paraId="423CA8B3" w14:textId="30E4AD5D" w:rsidR="000231CE" w:rsidRDefault="00203565" w:rsidP="000231CE">
      <w:pPr>
        <w:pBdr>
          <w:top w:val="nil"/>
          <w:left w:val="nil"/>
          <w:bottom w:val="nil"/>
          <w:right w:val="nil"/>
          <w:between w:val="nil"/>
        </w:pBdr>
        <w:spacing w:before="8"/>
        <w:rPr>
          <w:rFonts w:ascii="Times New Roman" w:hAnsi="Times New Roman" w:cs="Times New Roman"/>
          <w:iCs/>
        </w:rPr>
      </w:pPr>
      <w:r w:rsidRPr="00880CF9">
        <w:rPr>
          <w:rFonts w:ascii="Times New Roman" w:hAnsi="Times New Roman" w:cs="Times New Roman"/>
          <w:i/>
        </w:rPr>
        <w:t xml:space="preserve">Whereas </w:t>
      </w:r>
      <w:r w:rsidR="00CC1821">
        <w:rPr>
          <w:rFonts w:ascii="Times New Roman" w:hAnsi="Times New Roman" w:cs="Times New Roman"/>
          <w:iCs/>
        </w:rPr>
        <w:t>the EVPP</w:t>
      </w:r>
      <w:r w:rsidRPr="00880CF9">
        <w:rPr>
          <w:rFonts w:ascii="Times New Roman" w:hAnsi="Times New Roman" w:cs="Times New Roman"/>
          <w:iCs/>
        </w:rPr>
        <w:t xml:space="preserve"> </w:t>
      </w:r>
      <w:r w:rsidR="000231CE">
        <w:rPr>
          <w:rFonts w:ascii="Times New Roman" w:hAnsi="Times New Roman" w:cs="Times New Roman"/>
          <w:iCs/>
        </w:rPr>
        <w:t xml:space="preserve">dossier submission </w:t>
      </w:r>
      <w:r w:rsidRPr="00880CF9">
        <w:rPr>
          <w:rFonts w:ascii="Times New Roman" w:hAnsi="Times New Roman" w:cs="Times New Roman"/>
          <w:iCs/>
        </w:rPr>
        <w:t>guidelines for promotion and</w:t>
      </w:r>
      <w:r w:rsidR="000231CE">
        <w:rPr>
          <w:rFonts w:ascii="Times New Roman" w:hAnsi="Times New Roman" w:cs="Times New Roman"/>
          <w:iCs/>
        </w:rPr>
        <w:t>/or</w:t>
      </w:r>
      <w:r w:rsidRPr="00880CF9">
        <w:rPr>
          <w:rFonts w:ascii="Times New Roman" w:hAnsi="Times New Roman" w:cs="Times New Roman"/>
          <w:iCs/>
        </w:rPr>
        <w:t xml:space="preserve"> tenure documents </w:t>
      </w:r>
      <w:r w:rsidR="003D7BA1" w:rsidRPr="00880CF9">
        <w:rPr>
          <w:rFonts w:ascii="Times New Roman" w:hAnsi="Times New Roman" w:cs="Times New Roman"/>
          <w:iCs/>
        </w:rPr>
        <w:t xml:space="preserve">for tenure-track, instructional, and clinical faculty </w:t>
      </w:r>
      <w:r w:rsidR="000231CE">
        <w:rPr>
          <w:rFonts w:ascii="Times New Roman" w:hAnsi="Times New Roman" w:cs="Times New Roman"/>
          <w:iCs/>
        </w:rPr>
        <w:t>refer to documentation of</w:t>
      </w:r>
      <w:r w:rsidR="003D7BA1" w:rsidRPr="00880CF9">
        <w:rPr>
          <w:rFonts w:ascii="Times New Roman" w:hAnsi="Times New Roman" w:cs="Times New Roman"/>
          <w:iCs/>
        </w:rPr>
        <w:t xml:space="preserve"> teaching effectiveness</w:t>
      </w:r>
      <w:r w:rsidR="00041C01">
        <w:rPr>
          <w:rFonts w:ascii="Times New Roman" w:hAnsi="Times New Roman" w:cs="Times New Roman"/>
          <w:iCs/>
        </w:rPr>
        <w:t xml:space="preserve"> </w:t>
      </w:r>
      <w:r w:rsidR="000231CE">
        <w:rPr>
          <w:rFonts w:ascii="Times New Roman" w:hAnsi="Times New Roman" w:cs="Times New Roman"/>
          <w:iCs/>
        </w:rPr>
        <w:t>as follows</w:t>
      </w:r>
      <w:r w:rsidR="00041C01">
        <w:rPr>
          <w:rFonts w:ascii="Times New Roman" w:hAnsi="Times New Roman" w:cs="Times New Roman"/>
          <w:iCs/>
        </w:rPr>
        <w:t>:</w:t>
      </w:r>
    </w:p>
    <w:p w14:paraId="044176FE" w14:textId="77777777" w:rsidR="000231CE" w:rsidRDefault="000231CE" w:rsidP="000231CE">
      <w:pPr>
        <w:pStyle w:val="ListParagraph"/>
        <w:numPr>
          <w:ilvl w:val="0"/>
          <w:numId w:val="4"/>
        </w:numPr>
        <w:pBdr>
          <w:top w:val="nil"/>
          <w:left w:val="nil"/>
          <w:bottom w:val="nil"/>
          <w:right w:val="nil"/>
          <w:between w:val="nil"/>
        </w:pBdr>
        <w:spacing w:before="8"/>
        <w:rPr>
          <w:rFonts w:ascii="Times New Roman" w:hAnsi="Times New Roman" w:cs="Times New Roman"/>
          <w:iCs/>
        </w:rPr>
      </w:pPr>
      <w:r>
        <w:rPr>
          <w:rFonts w:ascii="Times New Roman" w:hAnsi="Times New Roman" w:cs="Times New Roman"/>
          <w:iCs/>
        </w:rPr>
        <w:t>Teaching Effectiveness</w:t>
      </w:r>
    </w:p>
    <w:p w14:paraId="7E8D51D4" w14:textId="493EAB61" w:rsidR="00041C01" w:rsidRP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Evidence of course organization, presentation, and requirements (example: one or two course syllabi)</w:t>
      </w:r>
    </w:p>
    <w:p w14:paraId="5E101E48"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Student evaluation results/reports with one or two sets of course evaluations</w:t>
      </w:r>
    </w:p>
    <w:p w14:paraId="3B71C9E4"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List of teaching awards and recognition</w:t>
      </w:r>
    </w:p>
    <w:p w14:paraId="28F873B3"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Selection for teaching in special programs</w:t>
      </w:r>
    </w:p>
    <w:p w14:paraId="6212513B" w14:textId="77777777" w:rsid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Participation, as a student, in teaching enhancement programs</w:t>
      </w:r>
    </w:p>
    <w:p w14:paraId="50EA5A2D" w14:textId="78A80D47" w:rsidR="00041C01" w:rsidRPr="00041C01" w:rsidRDefault="00041C01" w:rsidP="000231CE">
      <w:pPr>
        <w:pStyle w:val="ListParagraph"/>
        <w:numPr>
          <w:ilvl w:val="1"/>
          <w:numId w:val="4"/>
        </w:numPr>
        <w:pBdr>
          <w:top w:val="nil"/>
          <w:left w:val="nil"/>
          <w:bottom w:val="nil"/>
          <w:right w:val="nil"/>
          <w:between w:val="nil"/>
        </w:pBdr>
        <w:spacing w:before="8"/>
        <w:rPr>
          <w:rFonts w:ascii="Times New Roman" w:hAnsi="Times New Roman" w:cs="Times New Roman"/>
          <w:iCs/>
        </w:rPr>
      </w:pPr>
      <w:r w:rsidRPr="00041C01">
        <w:rPr>
          <w:rFonts w:ascii="Times New Roman" w:hAnsi="Times New Roman" w:cs="Times New Roman"/>
          <w:iCs/>
        </w:rPr>
        <w:t>Other evidence of teaching effectiveness (example: supporting letters from faculty peers)</w:t>
      </w:r>
    </w:p>
    <w:p w14:paraId="00000014" w14:textId="02B42796" w:rsidR="008F05E2" w:rsidRPr="00880CF9" w:rsidRDefault="008F05E2" w:rsidP="000231CE">
      <w:pPr>
        <w:pBdr>
          <w:top w:val="nil"/>
          <w:left w:val="nil"/>
          <w:bottom w:val="nil"/>
          <w:right w:val="nil"/>
          <w:between w:val="nil"/>
        </w:pBdr>
        <w:spacing w:before="8"/>
        <w:rPr>
          <w:rFonts w:ascii="Times New Roman" w:hAnsi="Times New Roman" w:cs="Times New Roman"/>
          <w:i/>
          <w:color w:val="000000"/>
        </w:rPr>
      </w:pPr>
    </w:p>
    <w:p w14:paraId="7D89511F" w14:textId="6E4624B6" w:rsidR="000231CE" w:rsidRPr="000231CE" w:rsidRDefault="00426431" w:rsidP="000231CE">
      <w:pPr>
        <w:pBdr>
          <w:top w:val="nil"/>
          <w:left w:val="nil"/>
          <w:bottom w:val="nil"/>
          <w:right w:val="nil"/>
          <w:between w:val="nil"/>
        </w:pBdr>
        <w:spacing w:before="8"/>
        <w:rPr>
          <w:rFonts w:ascii="Times New Roman" w:hAnsi="Times New Roman" w:cs="Times New Roman"/>
          <w:iCs/>
        </w:rPr>
      </w:pPr>
      <w:bookmarkStart w:id="0" w:name="_Hlk144632854"/>
      <w:r w:rsidRPr="00880CF9">
        <w:rPr>
          <w:rFonts w:ascii="Times New Roman" w:hAnsi="Times New Roman" w:cs="Times New Roman"/>
          <w:i/>
          <w:color w:val="000000"/>
        </w:rPr>
        <w:t>BE IT RESOLVED</w:t>
      </w:r>
      <w:r w:rsidR="008C19DC" w:rsidRPr="00880CF9">
        <w:rPr>
          <w:rFonts w:ascii="Times New Roman" w:hAnsi="Times New Roman" w:cs="Times New Roman"/>
          <w:i/>
          <w:color w:val="000000"/>
        </w:rPr>
        <w:t xml:space="preserve"> </w:t>
      </w:r>
      <w:r w:rsidRPr="00880CF9">
        <w:rPr>
          <w:rFonts w:ascii="Times New Roman" w:hAnsi="Times New Roman" w:cs="Times New Roman"/>
          <w:i/>
          <w:color w:val="000000"/>
        </w:rPr>
        <w:t xml:space="preserve"> </w:t>
      </w:r>
      <w:r w:rsidRPr="00880CF9">
        <w:rPr>
          <w:rFonts w:ascii="Times New Roman" w:hAnsi="Times New Roman" w:cs="Times New Roman"/>
          <w:color w:val="000000"/>
        </w:rPr>
        <w:t xml:space="preserve">that </w:t>
      </w:r>
      <w:r w:rsidR="008C19DC" w:rsidRPr="00880CF9">
        <w:rPr>
          <w:rFonts w:ascii="Times New Roman" w:hAnsi="Times New Roman" w:cs="Times New Roman"/>
          <w:color w:val="000000"/>
        </w:rPr>
        <w:t xml:space="preserve">the </w:t>
      </w:r>
      <w:r w:rsidR="00041C01">
        <w:rPr>
          <w:rFonts w:ascii="Times New Roman" w:hAnsi="Times New Roman" w:cs="Times New Roman"/>
          <w:iCs/>
        </w:rPr>
        <w:t>u</w:t>
      </w:r>
      <w:r w:rsidR="00041C01" w:rsidRPr="00880CF9">
        <w:rPr>
          <w:rFonts w:ascii="Times New Roman" w:hAnsi="Times New Roman" w:cs="Times New Roman"/>
          <w:iCs/>
        </w:rPr>
        <w:t>niversity</w:t>
      </w:r>
      <w:r w:rsidR="00041C01">
        <w:rPr>
          <w:rFonts w:ascii="Times New Roman" w:hAnsi="Times New Roman" w:cs="Times New Roman"/>
          <w:iCs/>
        </w:rPr>
        <w:t>-level (Provost)</w:t>
      </w:r>
      <w:r w:rsidR="00041C01" w:rsidRPr="00880CF9">
        <w:rPr>
          <w:rFonts w:ascii="Times New Roman" w:hAnsi="Times New Roman" w:cs="Times New Roman"/>
          <w:iCs/>
        </w:rPr>
        <w:t xml:space="preserve"> </w:t>
      </w:r>
      <w:r w:rsidR="000231CE">
        <w:rPr>
          <w:rFonts w:ascii="Times New Roman" w:hAnsi="Times New Roman" w:cs="Times New Roman"/>
          <w:iCs/>
        </w:rPr>
        <w:t xml:space="preserve">dossier submission </w:t>
      </w:r>
      <w:r w:rsidR="00041C01" w:rsidRPr="00880CF9">
        <w:rPr>
          <w:rFonts w:ascii="Times New Roman" w:hAnsi="Times New Roman" w:cs="Times New Roman"/>
          <w:iCs/>
        </w:rPr>
        <w:t>guidelines for promotion and</w:t>
      </w:r>
      <w:r w:rsidR="000231CE">
        <w:rPr>
          <w:rFonts w:ascii="Times New Roman" w:hAnsi="Times New Roman" w:cs="Times New Roman"/>
          <w:iCs/>
        </w:rPr>
        <w:t>/or</w:t>
      </w:r>
      <w:r w:rsidR="00041C01" w:rsidRPr="00880CF9">
        <w:rPr>
          <w:rFonts w:ascii="Times New Roman" w:hAnsi="Times New Roman" w:cs="Times New Roman"/>
          <w:iCs/>
        </w:rPr>
        <w:t xml:space="preserve"> tenure for tenure-track, instructional, and clinical faculty</w:t>
      </w:r>
      <w:r w:rsidR="00041C01">
        <w:rPr>
          <w:rFonts w:ascii="Times New Roman" w:hAnsi="Times New Roman" w:cs="Times New Roman"/>
          <w:iCs/>
        </w:rPr>
        <w:t xml:space="preserve"> </w:t>
      </w:r>
      <w:r w:rsidR="000231CE">
        <w:rPr>
          <w:rFonts w:ascii="Times New Roman" w:hAnsi="Times New Roman" w:cs="Times New Roman"/>
          <w:iCs/>
        </w:rPr>
        <w:t>referencing</w:t>
      </w:r>
      <w:r w:rsidR="00CC1821">
        <w:rPr>
          <w:rFonts w:ascii="Times New Roman" w:hAnsi="Times New Roman" w:cs="Times New Roman"/>
          <w:iCs/>
        </w:rPr>
        <w:t xml:space="preserve"> documentation of</w:t>
      </w:r>
      <w:r w:rsidR="00041C01">
        <w:rPr>
          <w:rFonts w:ascii="Times New Roman" w:hAnsi="Times New Roman" w:cs="Times New Roman"/>
          <w:iCs/>
        </w:rPr>
        <w:t xml:space="preserve"> teaching effectiveness be modified as follows:</w:t>
      </w:r>
    </w:p>
    <w:bookmarkEnd w:id="0"/>
    <w:p w14:paraId="585BC718" w14:textId="39C9F338" w:rsidR="000231CE" w:rsidRPr="00FA1C4B" w:rsidRDefault="000231CE" w:rsidP="00FA1C4B">
      <w:pPr>
        <w:pStyle w:val="ListParagraph"/>
        <w:numPr>
          <w:ilvl w:val="0"/>
          <w:numId w:val="4"/>
        </w:numPr>
        <w:pBdr>
          <w:top w:val="nil"/>
          <w:left w:val="nil"/>
          <w:bottom w:val="nil"/>
          <w:right w:val="nil"/>
          <w:between w:val="nil"/>
        </w:pBdr>
        <w:spacing w:before="8"/>
        <w:rPr>
          <w:rFonts w:ascii="Times New Roman" w:eastAsiaTheme="minorEastAsia" w:hAnsi="Times New Roman" w:cs="Times New Roman"/>
          <w:strike/>
          <w:color w:val="000000" w:themeColor="text1"/>
        </w:rPr>
      </w:pPr>
      <w:r w:rsidRPr="000231CE">
        <w:rPr>
          <w:rFonts w:ascii="Times New Roman" w:eastAsiaTheme="minorEastAsia" w:hAnsi="Times New Roman" w:cs="Times New Roman"/>
          <w:color w:val="000000" w:themeColor="text1"/>
        </w:rPr>
        <w:t>Teaching Effectiveness – evidence</w:t>
      </w:r>
      <w:r w:rsidR="007914DA">
        <w:rPr>
          <w:rFonts w:ascii="Times New Roman" w:eastAsiaTheme="minorEastAsia" w:hAnsi="Times New Roman" w:cs="Times New Roman"/>
          <w:color w:val="000000" w:themeColor="text1"/>
        </w:rPr>
        <w:t xml:space="preserve"> </w:t>
      </w:r>
      <w:r w:rsidRPr="000231CE">
        <w:rPr>
          <w:rFonts w:ascii="Times New Roman" w:eastAsiaTheme="minorEastAsia" w:hAnsi="Times New Roman" w:cs="Times New Roman"/>
          <w:color w:val="000000" w:themeColor="text1"/>
        </w:rPr>
        <w:t>(e.g., self-assessment narratives, sample course materials, teaching observations, student evaluations of teaching, peer reviews of teaching, student achievement of learning outcomes, participation in continuing education programs, participation in teaching enhancement programs, and/or teaching honors/</w:t>
      </w:r>
      <w:r w:rsidRPr="00141457">
        <w:rPr>
          <w:rFonts w:ascii="Times New Roman" w:eastAsiaTheme="minorEastAsia" w:hAnsi="Times New Roman" w:cs="Times New Roman"/>
          <w:color w:val="000000" w:themeColor="text1"/>
        </w:rPr>
        <w:t>awards</w:t>
      </w:r>
      <w:r w:rsidR="00141457" w:rsidRPr="00141457">
        <w:rPr>
          <w:rFonts w:ascii="Times New Roman" w:eastAsiaTheme="minorEastAsia" w:hAnsi="Times New Roman" w:cs="Times New Roman"/>
          <w:strike/>
          <w:color w:val="000000" w:themeColor="text1"/>
        </w:rPr>
        <w:t xml:space="preserve"> </w:t>
      </w:r>
      <w:r w:rsidR="00FA1C4B" w:rsidRPr="00141457">
        <w:rPr>
          <w:rFonts w:ascii="Times New Roman" w:eastAsiaTheme="minorEastAsia" w:hAnsi="Times New Roman" w:cs="Times New Roman"/>
          <w:color w:val="000000" w:themeColor="text1"/>
        </w:rPr>
        <w:t>must be included to support at least one of the following criteria to demonstrate teaching effectiveness:</w:t>
      </w:r>
    </w:p>
    <w:p w14:paraId="420E6425" w14:textId="7FE391C2"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lastRenderedPageBreak/>
        <w:t xml:space="preserve">Preparation (i.e., planning for teaching) </w:t>
      </w:r>
    </w:p>
    <w:p w14:paraId="59F71505"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Engagement (i.e., delivering content and managing the student learning process) </w:t>
      </w:r>
    </w:p>
    <w:p w14:paraId="5001337B"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Inclusion (i.e., serving the learning needs of all students) </w:t>
      </w:r>
    </w:p>
    <w:p w14:paraId="001E8E4E"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Subject Expertise (i.e., maintaining/developing expert subject knowledge) </w:t>
      </w:r>
    </w:p>
    <w:p w14:paraId="444EEF26"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Pedagogical Competence (i.e., maintaining/developing timely knowledge and skills in the theories and practice of teaching and learning) </w:t>
      </w:r>
    </w:p>
    <w:p w14:paraId="2D82211C"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Outcome (i.e., achieving desired teaching results)</w:t>
      </w:r>
    </w:p>
    <w:p w14:paraId="5AD8666E" w14:textId="77777777"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Improvement (i.e., revising teaching practices over time) </w:t>
      </w:r>
    </w:p>
    <w:p w14:paraId="635643D3" w14:textId="1A877D23" w:rsidR="000231CE" w:rsidRPr="000231CE" w:rsidRDefault="000231CE" w:rsidP="000231CE">
      <w:pPr>
        <w:pStyle w:val="ListParagraph"/>
        <w:numPr>
          <w:ilvl w:val="1"/>
          <w:numId w:val="4"/>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eastAsiaTheme="minorEastAsia" w:hAnsi="Times New Roman" w:cs="Times New Roman"/>
          <w:color w:val="000000" w:themeColor="text1"/>
        </w:rPr>
        <w:t xml:space="preserve">Adaptability &amp; Innovation (i.e., navigating the evolving nature of teaching and learning) </w:t>
      </w:r>
    </w:p>
    <w:p w14:paraId="1C188718" w14:textId="77777777" w:rsid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p>
    <w:p w14:paraId="26DFC1BC" w14:textId="2021263C" w:rsidR="000231CE" w:rsidRPr="000231CE" w:rsidRDefault="000231CE" w:rsidP="000231CE">
      <w:pPr>
        <w:numPr>
          <w:ilvl w:val="1"/>
          <w:numId w:val="5"/>
        </w:numPr>
        <w:pBdr>
          <w:top w:val="nil"/>
          <w:left w:val="nil"/>
          <w:bottom w:val="nil"/>
          <w:right w:val="nil"/>
          <w:between w:val="nil"/>
        </w:pBdr>
        <w:spacing w:before="8"/>
        <w:rPr>
          <w:rFonts w:ascii="Times New Roman" w:eastAsiaTheme="minorEastAsia" w:hAnsi="Times New Roman" w:cs="Times New Roman"/>
          <w:color w:val="000000" w:themeColor="text1"/>
        </w:rPr>
      </w:pPr>
      <w:r w:rsidRPr="000231CE">
        <w:rPr>
          <w:rFonts w:ascii="Times New Roman" w:hAnsi="Times New Roman" w:cs="Times New Roman"/>
          <w:i/>
          <w:color w:val="000000"/>
        </w:rPr>
        <w:t xml:space="preserve">BE IT </w:t>
      </w:r>
      <w:r>
        <w:rPr>
          <w:rFonts w:ascii="Times New Roman" w:hAnsi="Times New Roman" w:cs="Times New Roman"/>
          <w:i/>
          <w:color w:val="000000"/>
        </w:rPr>
        <w:t xml:space="preserve">FURTHER </w:t>
      </w:r>
      <w:r w:rsidRPr="000231CE">
        <w:rPr>
          <w:rFonts w:ascii="Times New Roman" w:hAnsi="Times New Roman" w:cs="Times New Roman"/>
          <w:i/>
          <w:color w:val="000000"/>
        </w:rPr>
        <w:t>RESOLVE</w:t>
      </w:r>
      <w:r>
        <w:rPr>
          <w:rFonts w:ascii="Times New Roman" w:hAnsi="Times New Roman" w:cs="Times New Roman"/>
          <w:i/>
          <w:color w:val="000000"/>
        </w:rPr>
        <w:t xml:space="preserve">D </w:t>
      </w:r>
      <w:r w:rsidRPr="000231CE">
        <w:rPr>
          <w:rFonts w:ascii="Times New Roman" w:hAnsi="Times New Roman" w:cs="Times New Roman"/>
          <w:i/>
          <w:color w:val="000000"/>
        </w:rPr>
        <w:t xml:space="preserve"> </w:t>
      </w:r>
      <w:r w:rsidRPr="000231CE">
        <w:rPr>
          <w:rFonts w:ascii="Times New Roman" w:hAnsi="Times New Roman" w:cs="Times New Roman"/>
          <w:color w:val="000000"/>
        </w:rPr>
        <w:t xml:space="preserve">that </w:t>
      </w:r>
      <w:r>
        <w:rPr>
          <w:rFonts w:ascii="Times New Roman" w:hAnsi="Times New Roman" w:cs="Times New Roman"/>
          <w:color w:val="000000"/>
        </w:rPr>
        <w:t>department</w:t>
      </w:r>
      <w:r w:rsidR="00373B96">
        <w:rPr>
          <w:rFonts w:ascii="Times New Roman" w:hAnsi="Times New Roman" w:cs="Times New Roman"/>
          <w:color w:val="000000"/>
        </w:rPr>
        <w:t>/</w:t>
      </w:r>
      <w:r>
        <w:rPr>
          <w:rFonts w:ascii="Times New Roman" w:hAnsi="Times New Roman" w:cs="Times New Roman"/>
          <w:color w:val="000000"/>
        </w:rPr>
        <w:t>school</w:t>
      </w:r>
      <w:r w:rsidR="00373B96">
        <w:rPr>
          <w:rFonts w:ascii="Times New Roman" w:hAnsi="Times New Roman" w:cs="Times New Roman"/>
          <w:color w:val="000000"/>
        </w:rPr>
        <w:t xml:space="preserve"> </w:t>
      </w:r>
      <w:r>
        <w:rPr>
          <w:rFonts w:ascii="Times New Roman" w:hAnsi="Times New Roman" w:cs="Times New Roman"/>
          <w:color w:val="000000"/>
        </w:rPr>
        <w:t>and/or college</w:t>
      </w:r>
      <w:r w:rsidRPr="000231CE">
        <w:rPr>
          <w:rFonts w:ascii="Times New Roman" w:hAnsi="Times New Roman" w:cs="Times New Roman"/>
          <w:iCs/>
        </w:rPr>
        <w:t xml:space="preserve"> dossier submission guidelines</w:t>
      </w:r>
      <w:r>
        <w:rPr>
          <w:rFonts w:ascii="Times New Roman" w:hAnsi="Times New Roman" w:cs="Times New Roman"/>
          <w:iCs/>
        </w:rPr>
        <w:t xml:space="preserve"> </w:t>
      </w:r>
      <w:r w:rsidRPr="000231CE">
        <w:rPr>
          <w:rFonts w:ascii="Times New Roman" w:hAnsi="Times New Roman" w:cs="Times New Roman"/>
          <w:iCs/>
        </w:rPr>
        <w:t>for promotion and</w:t>
      </w:r>
      <w:r>
        <w:rPr>
          <w:rFonts w:ascii="Times New Roman" w:hAnsi="Times New Roman" w:cs="Times New Roman"/>
          <w:iCs/>
        </w:rPr>
        <w:t>/or</w:t>
      </w:r>
      <w:r w:rsidRPr="000231CE">
        <w:rPr>
          <w:rFonts w:ascii="Times New Roman" w:hAnsi="Times New Roman" w:cs="Times New Roman"/>
          <w:iCs/>
        </w:rPr>
        <w:t xml:space="preserve"> tenure</w:t>
      </w:r>
      <w:r>
        <w:rPr>
          <w:rFonts w:ascii="Times New Roman" w:hAnsi="Times New Roman" w:cs="Times New Roman"/>
          <w:iCs/>
        </w:rPr>
        <w:t xml:space="preserve"> </w:t>
      </w:r>
      <w:r w:rsidRPr="000231CE">
        <w:rPr>
          <w:rFonts w:ascii="Times New Roman" w:hAnsi="Times New Roman" w:cs="Times New Roman"/>
          <w:iCs/>
        </w:rPr>
        <w:t>for tenure-track, instructional, and clinical faculty referencing teaching effectiveness be modified</w:t>
      </w:r>
      <w:r>
        <w:rPr>
          <w:rFonts w:ascii="Times New Roman" w:hAnsi="Times New Roman" w:cs="Times New Roman"/>
          <w:iCs/>
        </w:rPr>
        <w:t xml:space="preserve"> accordingly</w:t>
      </w:r>
      <w:r w:rsidR="00CC1821">
        <w:rPr>
          <w:rFonts w:ascii="Times New Roman" w:hAnsi="Times New Roman" w:cs="Times New Roman"/>
          <w:iCs/>
        </w:rPr>
        <w:t xml:space="preserve"> using procedures consistent with processes described in the </w:t>
      </w:r>
      <w:r w:rsidR="00CC1821" w:rsidRPr="00CC1821">
        <w:rPr>
          <w:rFonts w:ascii="Times New Roman" w:hAnsi="Times New Roman" w:cs="Times New Roman"/>
          <w:i/>
        </w:rPr>
        <w:t>Ohio University Faculty Handbook</w:t>
      </w:r>
      <w:r>
        <w:rPr>
          <w:rFonts w:ascii="Times New Roman" w:hAnsi="Times New Roman" w:cs="Times New Roman"/>
          <w:iCs/>
        </w:rPr>
        <w:t>.</w:t>
      </w:r>
    </w:p>
    <w:p w14:paraId="657BF8AE" w14:textId="77777777" w:rsidR="00BD2843" w:rsidRPr="00880CF9" w:rsidRDefault="00BD2843" w:rsidP="00BD2843">
      <w:pPr>
        <w:pBdr>
          <w:top w:val="nil"/>
          <w:left w:val="nil"/>
          <w:bottom w:val="nil"/>
          <w:right w:val="nil"/>
          <w:between w:val="nil"/>
        </w:pBdr>
        <w:spacing w:before="8"/>
        <w:jc w:val="both"/>
        <w:rPr>
          <w:rFonts w:ascii="Times New Roman" w:hAnsi="Times New Roman" w:cs="Times New Roman"/>
          <w:color w:val="000000"/>
        </w:rPr>
      </w:pPr>
    </w:p>
    <w:sectPr w:rsidR="00BD2843" w:rsidRPr="00880C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6678" w14:textId="77777777" w:rsidR="0057513F" w:rsidRDefault="0057513F">
      <w:r>
        <w:separator/>
      </w:r>
    </w:p>
  </w:endnote>
  <w:endnote w:type="continuationSeparator" w:id="0">
    <w:p w14:paraId="167806FD" w14:textId="77777777" w:rsidR="0057513F" w:rsidRDefault="005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DBD" w14:textId="77777777" w:rsidR="00F15E0F" w:rsidRDefault="00F1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F05E2" w:rsidRDefault="00426431">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E5EC" w14:textId="77777777" w:rsidR="00F15E0F" w:rsidRDefault="00F1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5096" w14:textId="77777777" w:rsidR="0057513F" w:rsidRDefault="0057513F">
      <w:r>
        <w:separator/>
      </w:r>
    </w:p>
  </w:footnote>
  <w:footnote w:type="continuationSeparator" w:id="0">
    <w:p w14:paraId="0101A76A" w14:textId="77777777" w:rsidR="0057513F" w:rsidRDefault="0057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BB4D" w14:textId="77777777" w:rsidR="00F15E0F" w:rsidRDefault="00F1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3B0638D" w:rsidR="008F05E2" w:rsidRDefault="0042643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03565">
      <w:rPr>
        <w:noProof/>
        <w:color w:val="000000"/>
      </w:rPr>
      <w:t>2</w:t>
    </w:r>
    <w:r>
      <w:rPr>
        <w:color w:val="000000"/>
      </w:rPr>
      <w:fldChar w:fldCharType="end"/>
    </w:r>
  </w:p>
  <w:p w14:paraId="0000001D" w14:textId="77777777" w:rsidR="008F05E2" w:rsidRDefault="008F05E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D661" w14:textId="6CCF9C14" w:rsidR="00F15E0F" w:rsidRDefault="00F1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C60"/>
    <w:multiLevelType w:val="hybridMultilevel"/>
    <w:tmpl w:val="F9B67F64"/>
    <w:lvl w:ilvl="0" w:tplc="04090001">
      <w:start w:val="1"/>
      <w:numFmt w:val="bullet"/>
      <w:lvlText w:val=""/>
      <w:lvlJc w:val="left"/>
      <w:pPr>
        <w:ind w:left="720" w:hanging="360"/>
      </w:pPr>
      <w:rPr>
        <w:rFonts w:ascii="Symbol" w:hAnsi="Symbol" w:hint="default"/>
      </w:rPr>
    </w:lvl>
    <w:lvl w:ilvl="1" w:tplc="7D000D2E">
      <w:numFmt w:val="bullet"/>
      <w:lvlText w:val="•"/>
      <w:lvlJc w:val="left"/>
      <w:pPr>
        <w:ind w:left="1440" w:hanging="360"/>
      </w:pPr>
      <w:rPr>
        <w:rFonts w:ascii="Times New Roman" w:eastAsia="EB Garamond"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2737"/>
    <w:multiLevelType w:val="hybridMultilevel"/>
    <w:tmpl w:val="842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51AC"/>
    <w:multiLevelType w:val="hybridMultilevel"/>
    <w:tmpl w:val="CD2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A04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3C473D9"/>
    <w:multiLevelType w:val="hybridMultilevel"/>
    <w:tmpl w:val="322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083271">
    <w:abstractNumId w:val="4"/>
  </w:num>
  <w:num w:numId="2" w16cid:durableId="51776261">
    <w:abstractNumId w:val="2"/>
  </w:num>
  <w:num w:numId="3" w16cid:durableId="899704739">
    <w:abstractNumId w:val="0"/>
  </w:num>
  <w:num w:numId="4" w16cid:durableId="462239884">
    <w:abstractNumId w:val="1"/>
  </w:num>
  <w:num w:numId="5" w16cid:durableId="176406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DE1tTQ3NTUyMTJT0lEKTi0uzszPAykwrQUAonlmBCwAAAA="/>
  </w:docVars>
  <w:rsids>
    <w:rsidRoot w:val="008F05E2"/>
    <w:rsid w:val="00002ED3"/>
    <w:rsid w:val="000231CE"/>
    <w:rsid w:val="000364EB"/>
    <w:rsid w:val="00036A99"/>
    <w:rsid w:val="00041C01"/>
    <w:rsid w:val="00141457"/>
    <w:rsid w:val="00143D5D"/>
    <w:rsid w:val="0015523C"/>
    <w:rsid w:val="00180505"/>
    <w:rsid w:val="001C1102"/>
    <w:rsid w:val="00203565"/>
    <w:rsid w:val="002138CA"/>
    <w:rsid w:val="00231A92"/>
    <w:rsid w:val="002376D8"/>
    <w:rsid w:val="002802BA"/>
    <w:rsid w:val="0028687F"/>
    <w:rsid w:val="002B04E0"/>
    <w:rsid w:val="002B5167"/>
    <w:rsid w:val="002E133A"/>
    <w:rsid w:val="002E150C"/>
    <w:rsid w:val="002E5962"/>
    <w:rsid w:val="002F738A"/>
    <w:rsid w:val="00304E7B"/>
    <w:rsid w:val="00311D69"/>
    <w:rsid w:val="00315A47"/>
    <w:rsid w:val="0033366B"/>
    <w:rsid w:val="00356416"/>
    <w:rsid w:val="00373B96"/>
    <w:rsid w:val="003D7BA1"/>
    <w:rsid w:val="003E3B17"/>
    <w:rsid w:val="003F73CE"/>
    <w:rsid w:val="00426431"/>
    <w:rsid w:val="004A5F36"/>
    <w:rsid w:val="004B09EA"/>
    <w:rsid w:val="004F2CEC"/>
    <w:rsid w:val="00500E42"/>
    <w:rsid w:val="005049A3"/>
    <w:rsid w:val="00526FE7"/>
    <w:rsid w:val="0057513F"/>
    <w:rsid w:val="006041CE"/>
    <w:rsid w:val="006627F5"/>
    <w:rsid w:val="006C3662"/>
    <w:rsid w:val="006D7AE3"/>
    <w:rsid w:val="006E0B8E"/>
    <w:rsid w:val="007436FD"/>
    <w:rsid w:val="00743B92"/>
    <w:rsid w:val="007914DA"/>
    <w:rsid w:val="007D502C"/>
    <w:rsid w:val="00880CF9"/>
    <w:rsid w:val="008C19DC"/>
    <w:rsid w:val="008F05E2"/>
    <w:rsid w:val="009723B6"/>
    <w:rsid w:val="00A46506"/>
    <w:rsid w:val="00AC5E30"/>
    <w:rsid w:val="00AD07FB"/>
    <w:rsid w:val="00B002C6"/>
    <w:rsid w:val="00B220FC"/>
    <w:rsid w:val="00B250CA"/>
    <w:rsid w:val="00B61526"/>
    <w:rsid w:val="00B62850"/>
    <w:rsid w:val="00B8520B"/>
    <w:rsid w:val="00B95057"/>
    <w:rsid w:val="00BA751D"/>
    <w:rsid w:val="00BD2843"/>
    <w:rsid w:val="00C94A1C"/>
    <w:rsid w:val="00CC1821"/>
    <w:rsid w:val="00D062C9"/>
    <w:rsid w:val="00D63051"/>
    <w:rsid w:val="00D87802"/>
    <w:rsid w:val="00DC0AA8"/>
    <w:rsid w:val="00E017CA"/>
    <w:rsid w:val="00E737DF"/>
    <w:rsid w:val="00E77E22"/>
    <w:rsid w:val="00EA7FAD"/>
    <w:rsid w:val="00ED0A98"/>
    <w:rsid w:val="00F15E0F"/>
    <w:rsid w:val="00F96D85"/>
    <w:rsid w:val="00FA1C4B"/>
    <w:rsid w:val="00FD0521"/>
    <w:rsid w:val="00FD3500"/>
    <w:rsid w:val="00FD7F11"/>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82A2"/>
  <w15:docId w15:val="{8878C4F1-88F5-1241-8DE6-D30AEDA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19DC"/>
    <w:pPr>
      <w:ind w:left="720"/>
      <w:contextualSpacing/>
    </w:pPr>
  </w:style>
  <w:style w:type="paragraph" w:styleId="Revision">
    <w:name w:val="Revision"/>
    <w:hidden/>
    <w:uiPriority w:val="99"/>
    <w:semiHidden/>
    <w:rsid w:val="00203565"/>
    <w:pPr>
      <w:widowControl/>
    </w:pPr>
  </w:style>
  <w:style w:type="paragraph" w:styleId="Header">
    <w:name w:val="header"/>
    <w:basedOn w:val="Normal"/>
    <w:link w:val="HeaderChar"/>
    <w:uiPriority w:val="99"/>
    <w:unhideWhenUsed/>
    <w:rsid w:val="00F15E0F"/>
    <w:pPr>
      <w:tabs>
        <w:tab w:val="center" w:pos="4680"/>
        <w:tab w:val="right" w:pos="9360"/>
      </w:tabs>
    </w:pPr>
  </w:style>
  <w:style w:type="character" w:customStyle="1" w:styleId="HeaderChar">
    <w:name w:val="Header Char"/>
    <w:basedOn w:val="DefaultParagraphFont"/>
    <w:link w:val="Header"/>
    <w:uiPriority w:val="99"/>
    <w:rsid w:val="00F15E0F"/>
  </w:style>
  <w:style w:type="paragraph" w:styleId="Footer">
    <w:name w:val="footer"/>
    <w:basedOn w:val="Normal"/>
    <w:link w:val="FooterChar"/>
    <w:uiPriority w:val="99"/>
    <w:unhideWhenUsed/>
    <w:rsid w:val="00F15E0F"/>
    <w:pPr>
      <w:tabs>
        <w:tab w:val="center" w:pos="4680"/>
        <w:tab w:val="right" w:pos="9360"/>
      </w:tabs>
    </w:pPr>
  </w:style>
  <w:style w:type="character" w:customStyle="1" w:styleId="FooterChar">
    <w:name w:val="Footer Char"/>
    <w:basedOn w:val="DefaultParagraphFont"/>
    <w:link w:val="Footer"/>
    <w:uiPriority w:val="99"/>
    <w:rsid w:val="00F15E0F"/>
  </w:style>
  <w:style w:type="paragraph" w:styleId="Quote">
    <w:name w:val="Quote"/>
    <w:basedOn w:val="Normal"/>
    <w:next w:val="Normal"/>
    <w:link w:val="QuoteChar"/>
    <w:uiPriority w:val="29"/>
    <w:qFormat/>
    <w:rsid w:val="006627F5"/>
    <w:pPr>
      <w:widowControl/>
      <w:spacing w:before="160" w:after="160" w:line="259" w:lineRule="auto"/>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6627F5"/>
    <w:rPr>
      <w:rFonts w:asciiTheme="minorHAnsi" w:eastAsiaTheme="minorEastAsia" w:hAnsiTheme="minorHAnsi" w:cstheme="minorBidi"/>
      <w:i/>
      <w:iCs/>
      <w:color w:val="000000" w:themeColor="text1"/>
    </w:rPr>
  </w:style>
  <w:style w:type="paragraph" w:customStyle="1" w:styleId="paragraph">
    <w:name w:val="paragraph"/>
    <w:basedOn w:val="Normal"/>
    <w:rsid w:val="00743B9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43B92"/>
  </w:style>
  <w:style w:type="character" w:customStyle="1" w:styleId="eop">
    <w:name w:val="eop"/>
    <w:basedOn w:val="DefaultParagraphFont"/>
    <w:rsid w:val="0074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Eisworth, Todd</dc:creator>
  <cp:lastModifiedBy>Brock, Angela</cp:lastModifiedBy>
  <cp:revision>2</cp:revision>
  <dcterms:created xsi:type="dcterms:W3CDTF">2024-02-12T19:01:00Z</dcterms:created>
  <dcterms:modified xsi:type="dcterms:W3CDTF">2024-02-12T19:01:00Z</dcterms:modified>
</cp:coreProperties>
</file>