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C548" w14:textId="65695C06" w:rsidR="00F24611" w:rsidRPr="00571A3B" w:rsidRDefault="00F24611" w:rsidP="00F24611">
      <w:pPr>
        <w:widowControl w:val="0"/>
        <w:autoSpaceDE w:val="0"/>
        <w:autoSpaceDN w:val="0"/>
        <w:adjustRightInd w:val="0"/>
        <w:spacing w:after="0"/>
        <w:ind w:right="-810"/>
        <w:rPr>
          <w:rFonts w:cs="TimesNewRomanPS-BoldMT"/>
          <w:b/>
          <w:bCs/>
          <w:sz w:val="28"/>
          <w:szCs w:val="28"/>
        </w:rPr>
      </w:pPr>
      <w:r w:rsidRPr="00571A3B">
        <w:rPr>
          <w:rFonts w:cs="TimesNewRomanPS-BoldMT"/>
          <w:b/>
          <w:bCs/>
          <w:noProof/>
          <w:sz w:val="28"/>
          <w:szCs w:val="28"/>
          <w:lang w:eastAsia="en-US"/>
        </w:rPr>
        <mc:AlternateContent>
          <mc:Choice Requires="wps">
            <w:drawing>
              <wp:anchor distT="0" distB="0" distL="114300" distR="114300" simplePos="0" relativeHeight="251659264" behindDoc="0" locked="0" layoutInCell="1" allowOverlap="1" wp14:anchorId="1E362632" wp14:editId="1E641140">
                <wp:simplePos x="0" y="0"/>
                <wp:positionH relativeFrom="column">
                  <wp:posOffset>5995035</wp:posOffset>
                </wp:positionH>
                <wp:positionV relativeFrom="paragraph">
                  <wp:posOffset>-454025</wp:posOffset>
                </wp:positionV>
                <wp:extent cx="114300" cy="114300"/>
                <wp:effectExtent l="0" t="0" r="0" b="0"/>
                <wp:wrapTight wrapText="bothSides">
                  <wp:wrapPolygon edited="0">
                    <wp:start x="0" y="0"/>
                    <wp:lineTo x="0" y="18000"/>
                    <wp:lineTo x="18000" y="18000"/>
                    <wp:lineTo x="180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02EFC" w14:textId="77777777" w:rsidR="00F24611" w:rsidRDefault="00F24611" w:rsidP="00F2461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62632" id="_x0000_t202" coordsize="21600,21600" o:spt="202" path="m,l,21600r21600,l21600,xe">
                <v:stroke joinstyle="miter"/>
                <v:path gradientshapeok="t" o:connecttype="rect"/>
              </v:shapetype>
              <v:shape id="Text Box 2" o:spid="_x0000_s1026" type="#_x0000_t202" style="position:absolute;margin-left:472.05pt;margin-top:-35.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" filled="f" stroked="f">
                <v:textbox inset=",7.2pt,,7.2pt">
                  <w:txbxContent>
                    <w:p w14:paraId="15602EFC" w14:textId="77777777" w:rsidR="00F24611" w:rsidRDefault="00F24611" w:rsidP="00F24611"/>
                  </w:txbxContent>
                </v:textbox>
                <w10:wrap type="tight"/>
              </v:shape>
            </w:pict>
          </mc:Fallback>
        </mc:AlternateContent>
      </w:r>
      <w:r w:rsidR="003E4E97">
        <w:rPr>
          <w:rFonts w:cs="TimesNewRomanPS-BoldMT"/>
          <w:b/>
          <w:bCs/>
          <w:sz w:val="28"/>
          <w:szCs w:val="28"/>
        </w:rPr>
        <w:t>Executive Committee</w:t>
      </w:r>
    </w:p>
    <w:p w14:paraId="1F5D0648" w14:textId="77777777" w:rsidR="00F24611" w:rsidRPr="00571A3B" w:rsidRDefault="00F24611" w:rsidP="00F24611">
      <w:pPr>
        <w:widowControl w:val="0"/>
        <w:autoSpaceDE w:val="0"/>
        <w:autoSpaceDN w:val="0"/>
        <w:adjustRightInd w:val="0"/>
        <w:spacing w:after="0"/>
        <w:ind w:right="-810"/>
        <w:rPr>
          <w:rFonts w:cs="TimesNewRomanPS-BoldMT"/>
          <w:b/>
          <w:bCs/>
          <w:sz w:val="28"/>
          <w:szCs w:val="28"/>
        </w:rPr>
      </w:pPr>
    </w:p>
    <w:p w14:paraId="4EC6ACF1" w14:textId="7BBC16AA" w:rsidR="00F24611" w:rsidRPr="001962E4" w:rsidRDefault="00F24611" w:rsidP="00F24611">
      <w:pPr>
        <w:pStyle w:val="Default"/>
      </w:pPr>
      <w:r>
        <w:rPr>
          <w:rFonts w:cs="TimesNewRomanPS-BoldMT"/>
          <w:b/>
          <w:bCs/>
          <w:sz w:val="28"/>
          <w:szCs w:val="28"/>
        </w:rPr>
        <w:t>1s</w:t>
      </w:r>
      <w:r w:rsidR="00C308A6">
        <w:rPr>
          <w:rFonts w:cs="TimesNewRomanPS-BoldMT"/>
          <w:b/>
          <w:bCs/>
          <w:sz w:val="28"/>
          <w:szCs w:val="28"/>
        </w:rPr>
        <w:t>t</w:t>
      </w:r>
      <w:r w:rsidRPr="00571A3B">
        <w:rPr>
          <w:rFonts w:cs="TimesNewRomanPS-BoldMT"/>
          <w:b/>
          <w:bCs/>
          <w:sz w:val="28"/>
          <w:szCs w:val="28"/>
        </w:rPr>
        <w:t xml:space="preserve"> Reading: Resolution </w:t>
      </w:r>
      <w:r>
        <w:rPr>
          <w:rFonts w:cs="TimesNewRomanPS-BoldMT"/>
          <w:b/>
          <w:bCs/>
          <w:sz w:val="28"/>
          <w:szCs w:val="28"/>
        </w:rPr>
        <w:t xml:space="preserve">on </w:t>
      </w:r>
      <w:r w:rsidR="006D13EB">
        <w:rPr>
          <w:rFonts w:cs="TimesNewRomanPS-BoldMT"/>
          <w:b/>
          <w:bCs/>
          <w:sz w:val="28"/>
          <w:szCs w:val="28"/>
        </w:rPr>
        <w:t>the</w:t>
      </w:r>
      <w:r>
        <w:rPr>
          <w:rFonts w:cs="TimesNewRomanPS-BoldMT"/>
          <w:b/>
          <w:bCs/>
          <w:sz w:val="28"/>
          <w:szCs w:val="28"/>
        </w:rPr>
        <w:t xml:space="preserve"> establishment of </w:t>
      </w:r>
      <w:r w:rsidR="00A60E3C">
        <w:rPr>
          <w:rFonts w:cs="TimesNewRomanPS-BoldMT"/>
          <w:b/>
          <w:bCs/>
          <w:sz w:val="28"/>
          <w:szCs w:val="28"/>
        </w:rPr>
        <w:t>Research Faculty</w:t>
      </w:r>
    </w:p>
    <w:p w14:paraId="5A5073AF" w14:textId="77777777" w:rsidR="00F24611" w:rsidRPr="007B2F61" w:rsidRDefault="00F24611" w:rsidP="006D13EB">
      <w:pPr>
        <w:widowControl w:val="0"/>
        <w:tabs>
          <w:tab w:val="left" w:pos="1080"/>
        </w:tabs>
        <w:spacing w:after="0"/>
        <w:rPr>
          <w:spacing w:val="2"/>
          <w:lang w:eastAsia="en-US"/>
        </w:rPr>
      </w:pPr>
    </w:p>
    <w:p w14:paraId="3F0D941F" w14:textId="77777777" w:rsidR="00F24611" w:rsidRDefault="00F24611" w:rsidP="00F24611">
      <w:pPr>
        <w:widowControl w:val="0"/>
        <w:spacing w:after="0"/>
      </w:pPr>
    </w:p>
    <w:p w14:paraId="7DD12700" w14:textId="7B635679" w:rsidR="00F24611" w:rsidRDefault="00F24611" w:rsidP="00F24611">
      <w:pPr>
        <w:widowControl w:val="0"/>
        <w:spacing w:after="0"/>
        <w:rPr>
          <w:i/>
        </w:rPr>
      </w:pPr>
      <w:r w:rsidRPr="006D13EB">
        <w:rPr>
          <w:i/>
        </w:rPr>
        <w:t xml:space="preserve">Whereas, </w:t>
      </w:r>
      <w:r w:rsidR="00A60E3C">
        <w:rPr>
          <w:i/>
        </w:rPr>
        <w:t>Ohio University has an administrative category for Researchers but no designation of Research Faculty.</w:t>
      </w:r>
    </w:p>
    <w:p w14:paraId="552229B4" w14:textId="77777777" w:rsidR="00A60E3C" w:rsidRPr="006D13EB" w:rsidRDefault="00A60E3C" w:rsidP="00F24611">
      <w:pPr>
        <w:widowControl w:val="0"/>
        <w:spacing w:after="0"/>
        <w:rPr>
          <w:i/>
        </w:rPr>
      </w:pPr>
    </w:p>
    <w:p w14:paraId="4910F25C" w14:textId="35D4F632" w:rsidR="00A60E3C" w:rsidRDefault="00A60E3C" w:rsidP="00A60E3C">
      <w:pPr>
        <w:widowControl w:val="0"/>
        <w:spacing w:after="0"/>
        <w:rPr>
          <w:i/>
        </w:rPr>
      </w:pPr>
      <w:r>
        <w:rPr>
          <w:i/>
        </w:rPr>
        <w:t>Whereas, Ohio University could benefit from a designation of Research Faculty.</w:t>
      </w:r>
    </w:p>
    <w:p w14:paraId="191ABFCB" w14:textId="77777777" w:rsidR="00F24611" w:rsidRPr="006D13EB" w:rsidRDefault="00F24611" w:rsidP="00F24611">
      <w:pPr>
        <w:widowControl w:val="0"/>
        <w:spacing w:after="0"/>
        <w:rPr>
          <w:i/>
          <w:spacing w:val="2"/>
          <w:lang w:eastAsia="en-US"/>
        </w:rPr>
      </w:pPr>
    </w:p>
    <w:p w14:paraId="323C8CDD" w14:textId="67792B8E" w:rsidR="00F24611" w:rsidRPr="006D13EB" w:rsidRDefault="00F24611" w:rsidP="00F24611">
      <w:pPr>
        <w:widowControl w:val="0"/>
        <w:spacing w:after="0"/>
        <w:rPr>
          <w:i/>
        </w:rPr>
      </w:pPr>
      <w:r w:rsidRPr="006D13EB">
        <w:rPr>
          <w:i/>
        </w:rPr>
        <w:t xml:space="preserve">Whereas, other universities have tracks specifically designated as non-tenure track </w:t>
      </w:r>
      <w:r w:rsidR="00A60E3C">
        <w:rPr>
          <w:i/>
        </w:rPr>
        <w:t>research</w:t>
      </w:r>
      <w:r w:rsidRPr="006D13EB">
        <w:rPr>
          <w:i/>
        </w:rPr>
        <w:t xml:space="preserve"> faculty,</w:t>
      </w:r>
    </w:p>
    <w:p w14:paraId="57F4CF84" w14:textId="77777777" w:rsidR="00F24611" w:rsidRPr="006D13EB" w:rsidRDefault="00F24611" w:rsidP="00F24611">
      <w:pPr>
        <w:widowControl w:val="0"/>
        <w:spacing w:after="0"/>
        <w:rPr>
          <w:i/>
        </w:rPr>
      </w:pPr>
    </w:p>
    <w:p w14:paraId="5D6D955F" w14:textId="48043EB1" w:rsidR="00F24611" w:rsidRPr="006D13EB" w:rsidRDefault="00F24611" w:rsidP="00F24611">
      <w:pPr>
        <w:widowControl w:val="0"/>
        <w:spacing w:after="0"/>
        <w:rPr>
          <w:i/>
        </w:rPr>
      </w:pPr>
      <w:r w:rsidRPr="006D13EB">
        <w:rPr>
          <w:i/>
        </w:rPr>
        <w:t xml:space="preserve">Whereas, a mechanism for promotion </w:t>
      </w:r>
      <w:r w:rsidR="006D13EB" w:rsidRPr="006D13EB">
        <w:rPr>
          <w:i/>
        </w:rPr>
        <w:t xml:space="preserve">within the </w:t>
      </w:r>
      <w:r w:rsidR="00A60E3C">
        <w:rPr>
          <w:i/>
        </w:rPr>
        <w:t>research</w:t>
      </w:r>
      <w:r w:rsidR="006D13EB" w:rsidRPr="006D13EB">
        <w:rPr>
          <w:i/>
        </w:rPr>
        <w:t xml:space="preserve"> track </w:t>
      </w:r>
      <w:r w:rsidRPr="006D13EB">
        <w:rPr>
          <w:i/>
        </w:rPr>
        <w:t xml:space="preserve">is necessary to attract and retain non-tenure track, high quality </w:t>
      </w:r>
      <w:r w:rsidR="00A60E3C">
        <w:rPr>
          <w:i/>
        </w:rPr>
        <w:t>research</w:t>
      </w:r>
      <w:r w:rsidRPr="006D13EB">
        <w:rPr>
          <w:i/>
        </w:rPr>
        <w:t xml:space="preserve"> faculty</w:t>
      </w:r>
      <w:r w:rsidR="006D13EB" w:rsidRPr="006D13EB">
        <w:rPr>
          <w:i/>
        </w:rPr>
        <w:t xml:space="preserve"> and </w:t>
      </w:r>
      <w:r w:rsidR="00A60E3C">
        <w:rPr>
          <w:i/>
        </w:rPr>
        <w:t>could be</w:t>
      </w:r>
      <w:r w:rsidR="006D13EB" w:rsidRPr="006D13EB">
        <w:rPr>
          <w:i/>
        </w:rPr>
        <w:t xml:space="preserve"> beneficial to students</w:t>
      </w:r>
      <w:r w:rsidRPr="006D13EB">
        <w:rPr>
          <w:i/>
        </w:rPr>
        <w:t xml:space="preserve">; </w:t>
      </w:r>
    </w:p>
    <w:p w14:paraId="6759FCB1" w14:textId="77777777" w:rsidR="00F24611" w:rsidRPr="006D13EB" w:rsidRDefault="00F24611" w:rsidP="00F24611">
      <w:pPr>
        <w:widowControl w:val="0"/>
        <w:spacing w:after="0"/>
        <w:rPr>
          <w:i/>
        </w:rPr>
      </w:pPr>
    </w:p>
    <w:p w14:paraId="023FFDD4" w14:textId="276D6AE3" w:rsidR="00F24611" w:rsidRPr="006D13EB" w:rsidRDefault="00F24611" w:rsidP="00F24611">
      <w:pPr>
        <w:widowControl w:val="0"/>
        <w:spacing w:after="0"/>
        <w:rPr>
          <w:i/>
          <w:spacing w:val="2"/>
          <w:lang w:eastAsia="en-US"/>
        </w:rPr>
      </w:pPr>
      <w:r w:rsidRPr="006D13EB">
        <w:rPr>
          <w:i/>
        </w:rPr>
        <w:t xml:space="preserve">Be it resolved that the classification </w:t>
      </w:r>
      <w:r w:rsidR="00A60E3C">
        <w:rPr>
          <w:i/>
        </w:rPr>
        <w:t xml:space="preserve">of </w:t>
      </w:r>
      <w:r w:rsidR="003E4E97">
        <w:rPr>
          <w:i/>
        </w:rPr>
        <w:t>Assistant</w:t>
      </w:r>
      <w:r w:rsidR="00B546C1">
        <w:rPr>
          <w:i/>
        </w:rPr>
        <w:t xml:space="preserve"> Professor</w:t>
      </w:r>
      <w:r w:rsidR="003E4E97">
        <w:rPr>
          <w:i/>
        </w:rPr>
        <w:t>, Associate</w:t>
      </w:r>
      <w:r w:rsidR="00B546C1">
        <w:rPr>
          <w:i/>
        </w:rPr>
        <w:t xml:space="preserve"> Professor</w:t>
      </w:r>
      <w:r w:rsidR="004266F5">
        <w:rPr>
          <w:i/>
        </w:rPr>
        <w:t>,</w:t>
      </w:r>
      <w:r w:rsidR="003E4E97">
        <w:rPr>
          <w:i/>
        </w:rPr>
        <w:t xml:space="preserve"> and </w:t>
      </w:r>
      <w:r w:rsidR="004266F5">
        <w:rPr>
          <w:i/>
        </w:rPr>
        <w:t>P</w:t>
      </w:r>
      <w:r w:rsidR="003E4E97">
        <w:rPr>
          <w:i/>
        </w:rPr>
        <w:t>rofessor</w:t>
      </w:r>
      <w:r w:rsidR="00A60E3C">
        <w:rPr>
          <w:i/>
        </w:rPr>
        <w:t xml:space="preserve"> </w:t>
      </w:r>
      <w:r w:rsidR="004266F5">
        <w:rPr>
          <w:i/>
        </w:rPr>
        <w:t xml:space="preserve">of Research </w:t>
      </w:r>
      <w:r w:rsidR="00A60E3C">
        <w:rPr>
          <w:i/>
        </w:rPr>
        <w:t>be added to the Faculty Handbook</w:t>
      </w:r>
      <w:r w:rsidRPr="006D13EB">
        <w:rPr>
          <w:i/>
        </w:rPr>
        <w:t xml:space="preserve"> and </w:t>
      </w:r>
      <w:r w:rsidR="007B0438" w:rsidRPr="006D13EB">
        <w:rPr>
          <w:rFonts w:cs="TimesNewRomanPS-BoldMT"/>
          <w:bCs/>
          <w:i/>
        </w:rPr>
        <w:t>that the language</w:t>
      </w:r>
      <w:r w:rsidR="00A60E3C">
        <w:rPr>
          <w:rFonts w:cs="TimesNewRomanPS-BoldMT"/>
          <w:bCs/>
          <w:i/>
        </w:rPr>
        <w:t xml:space="preserve"> attached</w:t>
      </w:r>
      <w:r w:rsidR="007B0438" w:rsidRPr="006D13EB">
        <w:rPr>
          <w:rFonts w:cs="TimesNewRomanPS-BoldMT"/>
          <w:bCs/>
          <w:i/>
        </w:rPr>
        <w:t xml:space="preserve"> </w:t>
      </w:r>
      <w:r w:rsidR="00A60E3C">
        <w:rPr>
          <w:rFonts w:cs="TimesNewRomanPS-BoldMT"/>
          <w:bCs/>
          <w:i/>
        </w:rPr>
        <w:t>be added to the</w:t>
      </w:r>
      <w:r w:rsidR="007B0438" w:rsidRPr="006D13EB">
        <w:rPr>
          <w:rFonts w:cs="TimesNewRomanPS-BoldMT"/>
          <w:bCs/>
          <w:i/>
        </w:rPr>
        <w:t xml:space="preserve"> Faculty Handbook Section II.C.3</w:t>
      </w:r>
      <w:r w:rsidR="00B546C1">
        <w:rPr>
          <w:rFonts w:cs="TimesNewRomanPS-BoldMT"/>
          <w:bCs/>
          <w:i/>
        </w:rPr>
        <w:t>.</w:t>
      </w:r>
    </w:p>
    <w:p w14:paraId="6BF9543A" w14:textId="77777777" w:rsidR="00F24611" w:rsidRDefault="00F24611" w:rsidP="00FB4E0B">
      <w:pPr>
        <w:widowControl w:val="0"/>
        <w:autoSpaceDE w:val="0"/>
        <w:autoSpaceDN w:val="0"/>
        <w:adjustRightInd w:val="0"/>
        <w:spacing w:before="120" w:after="0"/>
        <w:ind w:left="630" w:right="-810" w:hanging="187"/>
        <w:rPr>
          <w:rFonts w:ascii="Times New Roman" w:hAnsi="Times New Roman" w:cs="Times New Roman"/>
          <w:b/>
          <w:bCs/>
        </w:rPr>
      </w:pPr>
    </w:p>
    <w:p w14:paraId="781F63D0" w14:textId="0B225497" w:rsidR="00E75C6B" w:rsidRPr="00FB4E0B" w:rsidRDefault="001005D8" w:rsidP="00FB4E0B">
      <w:pPr>
        <w:pStyle w:val="Heading3"/>
        <w:tabs>
          <w:tab w:val="left" w:pos="1440"/>
        </w:tabs>
        <w:spacing w:before="100" w:beforeAutospacing="1" w:after="100" w:afterAutospacing="1"/>
        <w:ind w:left="630" w:hanging="187"/>
        <w:rPr>
          <w:rFonts w:ascii="Times New Roman" w:hAnsi="Times New Roman" w:cs="Times New Roman"/>
          <w:sz w:val="24"/>
          <w:szCs w:val="24"/>
        </w:rPr>
      </w:pPr>
      <w:r>
        <w:t>d</w:t>
      </w:r>
      <w:r w:rsidR="003E4E97" w:rsidRPr="00FB4E0B">
        <w:rPr>
          <w:rFonts w:ascii="Times New Roman" w:hAnsi="Times New Roman" w:cs="Times New Roman"/>
          <w:sz w:val="24"/>
          <w:szCs w:val="24"/>
        </w:rPr>
        <w:t xml:space="preserve">.   Research Faculty </w:t>
      </w:r>
      <w:r w:rsidR="00E75C6B" w:rsidRPr="00FB4E0B">
        <w:rPr>
          <w:rFonts w:ascii="Times New Roman" w:hAnsi="Times New Roman" w:cs="Times New Roman"/>
          <w:sz w:val="24"/>
          <w:szCs w:val="24"/>
        </w:rPr>
        <w:t>(non-tenure track)</w:t>
      </w:r>
    </w:p>
    <w:p w14:paraId="43175455" w14:textId="42D68D59" w:rsidR="003E4E97" w:rsidRPr="00FB4E0B" w:rsidRDefault="00E75C6B" w:rsidP="00FB4E0B">
      <w:pPr>
        <w:pStyle w:val="Heading3"/>
        <w:tabs>
          <w:tab w:val="left" w:pos="1440"/>
        </w:tabs>
        <w:spacing w:before="100" w:beforeAutospacing="1" w:after="100" w:afterAutospacing="1"/>
        <w:ind w:left="900" w:hanging="187"/>
        <w:rPr>
          <w:rFonts w:ascii="Times New Roman" w:hAnsi="Times New Roman" w:cs="Times New Roman"/>
          <w:b w:val="0"/>
          <w:bCs/>
          <w:sz w:val="24"/>
          <w:szCs w:val="24"/>
        </w:rPr>
      </w:pPr>
      <w:r w:rsidRPr="00FB4E0B">
        <w:rPr>
          <w:rFonts w:ascii="Times New Roman" w:hAnsi="Times New Roman" w:cs="Times New Roman"/>
          <w:sz w:val="24"/>
          <w:szCs w:val="24"/>
        </w:rPr>
        <w:tab/>
      </w:r>
      <w:r w:rsidR="003E4E97" w:rsidRPr="00FB4E0B">
        <w:rPr>
          <w:rFonts w:ascii="Times New Roman" w:hAnsi="Times New Roman" w:cs="Times New Roman"/>
          <w:b w:val="0"/>
          <w:bCs/>
          <w:sz w:val="24"/>
          <w:szCs w:val="24"/>
        </w:rPr>
        <w:t xml:space="preserve">Faculty members whose primary role is to engage in research, scholarship, or creative activity (RSCA) funded through external sources. </w:t>
      </w:r>
      <w:bookmarkStart w:id="0" w:name="_Hlk159155967"/>
      <w:r w:rsidR="003E4E97" w:rsidRPr="00FB4E0B">
        <w:rPr>
          <w:rFonts w:ascii="Times New Roman" w:hAnsi="Times New Roman" w:cs="Times New Roman"/>
          <w:b w:val="0"/>
          <w:bCs/>
          <w:sz w:val="24"/>
          <w:szCs w:val="24"/>
        </w:rPr>
        <w:t>The function of research faculty is to dedi</w:t>
      </w:r>
      <w:r w:rsidRPr="00FB4E0B">
        <w:rPr>
          <w:rFonts w:ascii="Times New Roman" w:hAnsi="Times New Roman" w:cs="Times New Roman"/>
          <w:b w:val="0"/>
          <w:bCs/>
          <w:sz w:val="24"/>
          <w:szCs w:val="24"/>
        </w:rPr>
        <w:t>c</w:t>
      </w:r>
      <w:r w:rsidR="003E4E97" w:rsidRPr="00FB4E0B">
        <w:rPr>
          <w:rFonts w:ascii="Times New Roman" w:hAnsi="Times New Roman" w:cs="Times New Roman"/>
          <w:b w:val="0"/>
          <w:bCs/>
          <w:sz w:val="24"/>
          <w:szCs w:val="24"/>
        </w:rPr>
        <w:t>ate their full professional commitment to research/ scholarship/ creative activity (and associated educational activities</w:t>
      </w:r>
      <w:r w:rsidR="001E75C0">
        <w:rPr>
          <w:rFonts w:ascii="Times New Roman" w:hAnsi="Times New Roman" w:cs="Times New Roman"/>
          <w:b w:val="0"/>
          <w:bCs/>
          <w:sz w:val="24"/>
          <w:szCs w:val="24"/>
        </w:rPr>
        <w:t>, e.g. serving as co-chair or as a member on graduate committees</w:t>
      </w:r>
      <w:r w:rsidR="003E4E97" w:rsidRPr="00FB4E0B">
        <w:rPr>
          <w:rFonts w:ascii="Times New Roman" w:hAnsi="Times New Roman" w:cs="Times New Roman"/>
          <w:b w:val="0"/>
          <w:bCs/>
          <w:sz w:val="24"/>
          <w:szCs w:val="24"/>
        </w:rPr>
        <w:t xml:space="preserve">) in their academic unit under the terms of the external grant or contract which provides their support.  </w:t>
      </w:r>
      <w:bookmarkEnd w:id="0"/>
      <w:r w:rsidR="003E4E97" w:rsidRPr="00FB4E0B">
        <w:rPr>
          <w:rFonts w:ascii="Times New Roman" w:hAnsi="Times New Roman" w:cs="Times New Roman"/>
          <w:b w:val="0"/>
          <w:bCs/>
          <w:sz w:val="24"/>
          <w:szCs w:val="24"/>
        </w:rPr>
        <w:t>The salary, fringe benefits and indirect costs for these positions shall be paid from a grant, contract, or other external source.  Accordingly, those accepting research faculty appointments shall be considered to have due notice that the University has no obligation to retain them beyond the expiration of their funding.</w:t>
      </w:r>
    </w:p>
    <w:p w14:paraId="3A3F3A4D" w14:textId="2110CF1D" w:rsidR="003E4E97" w:rsidRPr="00FB4E0B" w:rsidRDefault="003E4E97" w:rsidP="00FB4E0B">
      <w:pPr>
        <w:tabs>
          <w:tab w:val="left" w:pos="1800"/>
        </w:tabs>
        <w:spacing w:before="100" w:beforeAutospacing="1" w:after="100" w:afterAutospacing="1"/>
        <w:ind w:left="993" w:hanging="187"/>
        <w:rPr>
          <w:rFonts w:ascii="Times New Roman" w:hAnsi="Times New Roman" w:cs="Times New Roman"/>
        </w:rPr>
      </w:pPr>
      <w:r w:rsidRPr="00FB4E0B">
        <w:rPr>
          <w:rFonts w:ascii="Times New Roman" w:hAnsi="Times New Roman" w:cs="Times New Roman"/>
        </w:rPr>
        <w:t xml:space="preserve">i.  The workload for each </w:t>
      </w:r>
      <w:r w:rsidR="005525AA">
        <w:rPr>
          <w:rFonts w:ascii="Times New Roman" w:hAnsi="Times New Roman" w:cs="Times New Roman"/>
        </w:rPr>
        <w:t>R</w:t>
      </w:r>
      <w:r w:rsidRPr="00FB4E0B">
        <w:rPr>
          <w:rFonts w:ascii="Times New Roman" w:hAnsi="Times New Roman" w:cs="Times New Roman"/>
        </w:rPr>
        <w:t xml:space="preserve">esearch </w:t>
      </w:r>
      <w:r w:rsidR="005525AA">
        <w:rPr>
          <w:rFonts w:ascii="Times New Roman" w:hAnsi="Times New Roman" w:cs="Times New Roman"/>
        </w:rPr>
        <w:t>F</w:t>
      </w:r>
      <w:r w:rsidRPr="00FB4E0B">
        <w:rPr>
          <w:rFonts w:ascii="Times New Roman" w:hAnsi="Times New Roman" w:cs="Times New Roman"/>
        </w:rPr>
        <w:t>aculty member (i.e. percentage distribution of RSCA, between 80-100%, and service responsibilities, between 20- 0%) is</w:t>
      </w:r>
      <w:r w:rsidR="00E75C6B" w:rsidRPr="00FB4E0B">
        <w:rPr>
          <w:rFonts w:ascii="Times New Roman" w:hAnsi="Times New Roman" w:cs="Times New Roman"/>
        </w:rPr>
        <w:t xml:space="preserve"> </w:t>
      </w:r>
      <w:r w:rsidRPr="00FB4E0B">
        <w:rPr>
          <w:rFonts w:ascii="Times New Roman" w:hAnsi="Times New Roman" w:cs="Times New Roman"/>
        </w:rPr>
        <w:t>negotiated at the time of hire, with the department chair in collaboration with the director of the center or institute if so associated.  The letter of offer will contain the specific workload percentages for RSCA and service as negotiated for the individual</w:t>
      </w:r>
      <w:r w:rsidR="003F44B3">
        <w:rPr>
          <w:rFonts w:ascii="Times New Roman" w:hAnsi="Times New Roman" w:cs="Times New Roman"/>
        </w:rPr>
        <w:t xml:space="preserve"> and appropriate to the funding agency</w:t>
      </w:r>
      <w:r w:rsidRPr="00FB4E0B">
        <w:rPr>
          <w:rFonts w:ascii="Times New Roman" w:hAnsi="Times New Roman" w:cs="Times New Roman"/>
        </w:rPr>
        <w:t>. Workload percentages may be subsequently renegotiated on an annual basis</w:t>
      </w:r>
      <w:r w:rsidR="00E75C6B" w:rsidRPr="00FB4E0B">
        <w:rPr>
          <w:rFonts w:ascii="Times New Roman" w:hAnsi="Times New Roman" w:cs="Times New Roman"/>
        </w:rPr>
        <w:t>,</w:t>
      </w:r>
      <w:r w:rsidRPr="00FB4E0B">
        <w:rPr>
          <w:rFonts w:ascii="Times New Roman" w:hAnsi="Times New Roman" w:cs="Times New Roman"/>
        </w:rPr>
        <w:t xml:space="preserve"> but all workload percentages must be contained in the faculty member’s letter of reappointment.</w:t>
      </w:r>
    </w:p>
    <w:p w14:paraId="13716B71" w14:textId="7D362670" w:rsidR="003E4E97" w:rsidRPr="00FB4E0B" w:rsidRDefault="003E4E97" w:rsidP="001005D8">
      <w:pPr>
        <w:tabs>
          <w:tab w:val="left" w:pos="1800"/>
        </w:tabs>
        <w:spacing w:before="100" w:beforeAutospacing="1" w:after="100" w:afterAutospacing="1"/>
        <w:ind w:left="1260" w:hanging="360"/>
        <w:rPr>
          <w:rFonts w:ascii="Times New Roman" w:hAnsi="Times New Roman" w:cs="Times New Roman"/>
        </w:rPr>
      </w:pPr>
      <w:r w:rsidRPr="00FB4E0B">
        <w:rPr>
          <w:rFonts w:ascii="Times New Roman" w:hAnsi="Times New Roman" w:cs="Times New Roman"/>
        </w:rPr>
        <w:lastRenderedPageBreak/>
        <w:t>ii.  Salaries will be negotiated at the time of hire at the departmental or regional</w:t>
      </w:r>
      <w:r w:rsidR="00E75C6B" w:rsidRPr="00FB4E0B">
        <w:rPr>
          <w:rFonts w:ascii="Times New Roman" w:hAnsi="Times New Roman" w:cs="Times New Roman"/>
        </w:rPr>
        <w:t xml:space="preserve"> </w:t>
      </w:r>
      <w:r w:rsidRPr="00FB4E0B">
        <w:rPr>
          <w:rFonts w:ascii="Times New Roman" w:hAnsi="Times New Roman" w:cs="Times New Roman"/>
        </w:rPr>
        <w:t xml:space="preserve">campus level, taking into account factors such as qualifications, years of experience, rank and salaries of existing </w:t>
      </w:r>
      <w:r w:rsidR="001005D8">
        <w:rPr>
          <w:rFonts w:ascii="Times New Roman" w:hAnsi="Times New Roman" w:cs="Times New Roman"/>
        </w:rPr>
        <w:t>Research</w:t>
      </w:r>
      <w:r w:rsidRPr="00FB4E0B">
        <w:rPr>
          <w:rFonts w:ascii="Times New Roman" w:hAnsi="Times New Roman" w:cs="Times New Roman"/>
        </w:rPr>
        <w:t xml:space="preserve"> faculty with similar workload assignments in the given department or on the given regional campus.  One base for negotiations will be an annual schedule of minimum per-course</w:t>
      </w:r>
      <w:r w:rsidR="00E75C6B" w:rsidRPr="00FB4E0B">
        <w:rPr>
          <w:rFonts w:ascii="Times New Roman" w:hAnsi="Times New Roman" w:cs="Times New Roman"/>
        </w:rPr>
        <w:t xml:space="preserve"> </w:t>
      </w:r>
      <w:r w:rsidRPr="00FB4E0B">
        <w:rPr>
          <w:rFonts w:ascii="Times New Roman" w:hAnsi="Times New Roman" w:cs="Times New Roman"/>
        </w:rPr>
        <w:t xml:space="preserve">rates of compensation and guidelines provided by the Provost. Salary increments for </w:t>
      </w:r>
      <w:r w:rsidR="001005D8">
        <w:rPr>
          <w:rFonts w:ascii="Times New Roman" w:hAnsi="Times New Roman" w:cs="Times New Roman"/>
        </w:rPr>
        <w:t>Research</w:t>
      </w:r>
      <w:r w:rsidRPr="00FB4E0B">
        <w:rPr>
          <w:rFonts w:ascii="Times New Roman" w:hAnsi="Times New Roman" w:cs="Times New Roman"/>
        </w:rPr>
        <w:t xml:space="preserve"> Faculty shall be negotiated in accordance with</w:t>
      </w:r>
      <w:r w:rsidR="00E75C6B" w:rsidRPr="00FB4E0B">
        <w:rPr>
          <w:rFonts w:ascii="Times New Roman" w:hAnsi="Times New Roman" w:cs="Times New Roman"/>
        </w:rPr>
        <w:t xml:space="preserve"> </w:t>
      </w:r>
      <w:r w:rsidRPr="00FB4E0B">
        <w:rPr>
          <w:rFonts w:ascii="Times New Roman" w:hAnsi="Times New Roman" w:cs="Times New Roman"/>
        </w:rPr>
        <w:t>University policies and shall take into account rank, performance and length of</w:t>
      </w:r>
      <w:r w:rsidR="00E75C6B" w:rsidRPr="00FB4E0B">
        <w:rPr>
          <w:rFonts w:ascii="Times New Roman" w:hAnsi="Times New Roman" w:cs="Times New Roman"/>
        </w:rPr>
        <w:t xml:space="preserve"> </w:t>
      </w:r>
      <w:r w:rsidRPr="00FB4E0B">
        <w:rPr>
          <w:rFonts w:ascii="Times New Roman" w:hAnsi="Times New Roman" w:cs="Times New Roman"/>
        </w:rPr>
        <w:t>service.</w:t>
      </w:r>
    </w:p>
    <w:p w14:paraId="331C05C3" w14:textId="4DA744E2" w:rsidR="003E4E97" w:rsidRPr="00FB4E0B" w:rsidRDefault="003E4E97" w:rsidP="00FB4E0B">
      <w:pPr>
        <w:tabs>
          <w:tab w:val="left" w:pos="1800"/>
        </w:tabs>
        <w:spacing w:before="100" w:beforeAutospacing="1" w:after="100" w:afterAutospacing="1"/>
        <w:ind w:left="1260" w:hanging="450"/>
        <w:rPr>
          <w:rFonts w:ascii="Times New Roman" w:hAnsi="Times New Roman" w:cs="Times New Roman"/>
        </w:rPr>
      </w:pPr>
      <w:r w:rsidRPr="00FB4E0B">
        <w:rPr>
          <w:rFonts w:ascii="Times New Roman" w:hAnsi="Times New Roman" w:cs="Times New Roman"/>
        </w:rPr>
        <w:t xml:space="preserve">iii.   Normally, the contracts for </w:t>
      </w:r>
      <w:r w:rsidR="005525AA">
        <w:rPr>
          <w:rFonts w:ascii="Times New Roman" w:hAnsi="Times New Roman" w:cs="Times New Roman"/>
        </w:rPr>
        <w:t>R</w:t>
      </w:r>
      <w:r w:rsidRPr="00FB4E0B">
        <w:rPr>
          <w:rFonts w:ascii="Times New Roman" w:hAnsi="Times New Roman" w:cs="Times New Roman"/>
        </w:rPr>
        <w:t xml:space="preserve">esearch </w:t>
      </w:r>
      <w:r w:rsidR="005525AA">
        <w:rPr>
          <w:rFonts w:ascii="Times New Roman" w:hAnsi="Times New Roman" w:cs="Times New Roman"/>
        </w:rPr>
        <w:t>F</w:t>
      </w:r>
      <w:r w:rsidRPr="00FB4E0B">
        <w:rPr>
          <w:rFonts w:ascii="Times New Roman" w:hAnsi="Times New Roman" w:cs="Times New Roman"/>
        </w:rPr>
        <w:t>aculty will be 12</w:t>
      </w:r>
      <w:r w:rsidR="00FB4E0B" w:rsidRPr="00FB4E0B">
        <w:rPr>
          <w:rFonts w:ascii="Times New Roman" w:hAnsi="Times New Roman" w:cs="Times New Roman"/>
        </w:rPr>
        <w:t xml:space="preserve"> </w:t>
      </w:r>
      <w:r w:rsidRPr="00FB4E0B">
        <w:rPr>
          <w:rFonts w:ascii="Times New Roman" w:hAnsi="Times New Roman" w:cs="Times New Roman"/>
        </w:rPr>
        <w:t>month</w:t>
      </w:r>
      <w:r w:rsidR="00FB4E0B" w:rsidRPr="00FB4E0B">
        <w:rPr>
          <w:rFonts w:ascii="Times New Roman" w:hAnsi="Times New Roman" w:cs="Times New Roman"/>
        </w:rPr>
        <w:t>s</w:t>
      </w:r>
      <w:r w:rsidRPr="00FB4E0B">
        <w:rPr>
          <w:rFonts w:ascii="Times New Roman" w:hAnsi="Times New Roman" w:cs="Times New Roman"/>
        </w:rPr>
        <w:t xml:space="preserve">.  Contracts will be renewable annually for the term of funding.  </w:t>
      </w:r>
    </w:p>
    <w:p w14:paraId="44845F1C" w14:textId="0AA8DC65" w:rsidR="003E4E97" w:rsidRPr="00FB4E0B" w:rsidRDefault="003E4E97" w:rsidP="00FB4E0B">
      <w:pPr>
        <w:spacing w:before="100" w:beforeAutospacing="1" w:after="100" w:afterAutospacing="1"/>
        <w:ind w:left="1260" w:hanging="450"/>
        <w:rPr>
          <w:rFonts w:ascii="Times New Roman" w:hAnsi="Times New Roman" w:cs="Times New Roman"/>
        </w:rPr>
      </w:pPr>
      <w:r w:rsidRPr="00FB4E0B">
        <w:rPr>
          <w:rFonts w:ascii="Times New Roman" w:hAnsi="Times New Roman" w:cs="Times New Roman"/>
        </w:rPr>
        <w:t>iv. Rese</w:t>
      </w:r>
      <w:r w:rsidR="00E75C6B" w:rsidRPr="00FB4E0B">
        <w:rPr>
          <w:rFonts w:ascii="Times New Roman" w:hAnsi="Times New Roman" w:cs="Times New Roman"/>
        </w:rPr>
        <w:t>a</w:t>
      </w:r>
      <w:r w:rsidRPr="00FB4E0B">
        <w:rPr>
          <w:rFonts w:ascii="Times New Roman" w:hAnsi="Times New Roman" w:cs="Times New Roman"/>
        </w:rPr>
        <w:t xml:space="preserve">rch </w:t>
      </w:r>
      <w:r w:rsidR="005525AA">
        <w:rPr>
          <w:rFonts w:ascii="Times New Roman" w:hAnsi="Times New Roman" w:cs="Times New Roman"/>
        </w:rPr>
        <w:t>F</w:t>
      </w:r>
      <w:r w:rsidRPr="00FB4E0B">
        <w:rPr>
          <w:rFonts w:ascii="Times New Roman" w:hAnsi="Times New Roman" w:cs="Times New Roman"/>
        </w:rPr>
        <w:t xml:space="preserve">aculty are categorized into three ranks. </w:t>
      </w:r>
      <w:bookmarkStart w:id="1" w:name="_Hlk159155793"/>
      <w:r w:rsidRPr="00FB4E0B">
        <w:rPr>
          <w:rFonts w:ascii="Times New Roman" w:hAnsi="Times New Roman" w:cs="Times New Roman"/>
        </w:rPr>
        <w:t>The initial rank is Assistant Professor</w:t>
      </w:r>
      <w:r w:rsidR="00FB4E0B">
        <w:rPr>
          <w:rFonts w:ascii="Times New Roman" w:hAnsi="Times New Roman" w:cs="Times New Roman"/>
        </w:rPr>
        <w:t xml:space="preserve"> of Research</w:t>
      </w:r>
      <w:r w:rsidRPr="00FB4E0B">
        <w:rPr>
          <w:rFonts w:ascii="Times New Roman" w:hAnsi="Times New Roman" w:cs="Times New Roman"/>
        </w:rPr>
        <w:t>, the intermediate rank is Associate Professor</w:t>
      </w:r>
      <w:r w:rsidR="00FB4E0B">
        <w:rPr>
          <w:rFonts w:ascii="Times New Roman" w:hAnsi="Times New Roman" w:cs="Times New Roman"/>
        </w:rPr>
        <w:t xml:space="preserve"> of Research</w:t>
      </w:r>
      <w:r w:rsidRPr="00FB4E0B">
        <w:rPr>
          <w:rFonts w:ascii="Times New Roman" w:hAnsi="Times New Roman" w:cs="Times New Roman"/>
        </w:rPr>
        <w:t>, and the highest rank is Professor</w:t>
      </w:r>
      <w:r w:rsidR="00FB4E0B">
        <w:rPr>
          <w:rFonts w:ascii="Times New Roman" w:hAnsi="Times New Roman" w:cs="Times New Roman"/>
        </w:rPr>
        <w:t xml:space="preserve"> of Research</w:t>
      </w:r>
      <w:r w:rsidRPr="00FB4E0B">
        <w:rPr>
          <w:rFonts w:ascii="Times New Roman" w:hAnsi="Times New Roman" w:cs="Times New Roman"/>
        </w:rPr>
        <w:t xml:space="preserve">.  </w:t>
      </w:r>
      <w:bookmarkEnd w:id="1"/>
      <w:r w:rsidRPr="00FB4E0B">
        <w:rPr>
          <w:rFonts w:ascii="Times New Roman" w:hAnsi="Times New Roman" w:cs="Times New Roman"/>
        </w:rPr>
        <w:t xml:space="preserve">Research faculty will normally be hired at the rank of Assistant Research Professor depending on qualifications and departmental norms. The rank should be given to those whose RSCA duties are 80% or greater and have the appropriate degree or equivalent professional experience, as evaluated by the academic unit, and demonstrated potential for effective RSCA.  </w:t>
      </w:r>
    </w:p>
    <w:p w14:paraId="5C2FB941" w14:textId="436D77DD" w:rsidR="003E4E97" w:rsidRPr="00FB4E0B" w:rsidRDefault="003E4E97" w:rsidP="001005D8">
      <w:pPr>
        <w:spacing w:before="100" w:beforeAutospacing="1" w:after="100" w:afterAutospacing="1"/>
        <w:ind w:left="1260" w:hanging="360"/>
        <w:rPr>
          <w:rFonts w:ascii="Times New Roman" w:hAnsi="Times New Roman" w:cs="Times New Roman"/>
        </w:rPr>
      </w:pPr>
      <w:r w:rsidRPr="00FB4E0B">
        <w:rPr>
          <w:rFonts w:ascii="Times New Roman" w:hAnsi="Times New Roman" w:cs="Times New Roman"/>
        </w:rPr>
        <w:t xml:space="preserve">v.   Research </w:t>
      </w:r>
      <w:r w:rsidR="005525AA">
        <w:rPr>
          <w:rFonts w:ascii="Times New Roman" w:hAnsi="Times New Roman" w:cs="Times New Roman"/>
        </w:rPr>
        <w:t>F</w:t>
      </w:r>
      <w:r w:rsidRPr="00FB4E0B">
        <w:rPr>
          <w:rFonts w:ascii="Times New Roman" w:hAnsi="Times New Roman" w:cs="Times New Roman"/>
        </w:rPr>
        <w:t xml:space="preserve">aculty must be evaluated annually by the chair according to departmental guidelines and in accordance with </w:t>
      </w:r>
      <w:hyperlink w:anchor="Section_II_E_1" w:history="1">
        <w:r w:rsidRPr="00FB4E0B">
          <w:rPr>
            <w:rStyle w:val="Hyperlink"/>
            <w:rFonts w:ascii="Times New Roman" w:hAnsi="Times New Roman" w:cs="Times New Roman"/>
          </w:rPr>
          <w:t xml:space="preserve">Section II.E.1 </w:t>
        </w:r>
      </w:hyperlink>
      <w:r w:rsidRPr="00FB4E0B">
        <w:rPr>
          <w:rFonts w:ascii="Times New Roman" w:hAnsi="Times New Roman" w:cs="Times New Roman"/>
        </w:rPr>
        <w:t xml:space="preserve">of the Faculty Handbook. A comprehensive review should be performed in the last year of a multi-year contract or upon application for promotion. A written evaluation of the faculty member will be forwarded to them by February 15 on an annual basis by their director or chair. The director, chair or division coordinator shall employ a departmental committee or committees in the evaluation process, which shall conform to the department’s written procedures and demonstrate peer review as a part of the merit process. </w:t>
      </w:r>
    </w:p>
    <w:p w14:paraId="3DFD0789" w14:textId="43D69622" w:rsidR="003E4E97" w:rsidRPr="00FB4E0B" w:rsidRDefault="003E4E97" w:rsidP="001005D8">
      <w:pPr>
        <w:spacing w:before="100" w:beforeAutospacing="1" w:after="100" w:afterAutospacing="1"/>
        <w:ind w:left="1260" w:hanging="360"/>
        <w:rPr>
          <w:rFonts w:ascii="Times New Roman" w:hAnsi="Times New Roman" w:cs="Times New Roman"/>
        </w:rPr>
      </w:pPr>
      <w:r w:rsidRPr="00FB4E0B">
        <w:rPr>
          <w:rFonts w:ascii="Times New Roman" w:hAnsi="Times New Roman" w:cs="Times New Roman"/>
        </w:rPr>
        <w:t>vi</w:t>
      </w:r>
      <w:r w:rsidR="00FB4E0B" w:rsidRPr="00FB4E0B">
        <w:rPr>
          <w:rFonts w:ascii="Times New Roman" w:hAnsi="Times New Roman" w:cs="Times New Roman"/>
        </w:rPr>
        <w:t xml:space="preserve">.  </w:t>
      </w:r>
      <w:r w:rsidRPr="00FB4E0B">
        <w:rPr>
          <w:rFonts w:ascii="Times New Roman" w:hAnsi="Times New Roman" w:cs="Times New Roman"/>
        </w:rPr>
        <w:t xml:space="preserve">Research Faculty may be promoted (without tenure). Minimum criteria for consideration for promotion are outlined </w:t>
      </w:r>
      <w:r w:rsidRPr="001005D8">
        <w:rPr>
          <w:rFonts w:ascii="Times New Roman" w:hAnsi="Times New Roman" w:cs="Times New Roman"/>
        </w:rPr>
        <w:t xml:space="preserve">in </w:t>
      </w:r>
      <w:hyperlink w:anchor="II_C_3_b_vi_a_c" w:history="1">
        <w:r w:rsidRPr="001005D8">
          <w:rPr>
            <w:rStyle w:val="Hyperlink"/>
            <w:rFonts w:ascii="Times New Roman" w:hAnsi="Times New Roman" w:cs="Times New Roman"/>
            <w:color w:val="auto"/>
          </w:rPr>
          <w:t>II.C.3.</w:t>
        </w:r>
        <w:r w:rsidR="001005D8" w:rsidRPr="001005D8">
          <w:rPr>
            <w:rStyle w:val="Hyperlink"/>
            <w:rFonts w:ascii="Times New Roman" w:hAnsi="Times New Roman" w:cs="Times New Roman"/>
            <w:color w:val="auto"/>
          </w:rPr>
          <w:t>d</w:t>
        </w:r>
        <w:r w:rsidRPr="001005D8">
          <w:rPr>
            <w:rStyle w:val="Hyperlink"/>
            <w:rFonts w:ascii="Times New Roman" w:hAnsi="Times New Roman" w:cs="Times New Roman"/>
            <w:color w:val="auto"/>
          </w:rPr>
          <w:t>.vi.a-c</w:t>
        </w:r>
      </w:hyperlink>
      <w:r w:rsidRPr="001005D8">
        <w:rPr>
          <w:rFonts w:ascii="Times New Roman" w:hAnsi="Times New Roman" w:cs="Times New Roman"/>
        </w:rPr>
        <w:t xml:space="preserve">; </w:t>
      </w:r>
      <w:r w:rsidRPr="00FB4E0B">
        <w:rPr>
          <w:rFonts w:ascii="Times New Roman" w:hAnsi="Times New Roman" w:cs="Times New Roman"/>
        </w:rPr>
        <w:t>these are minimum criteria for consideration for promotion. Departments and schools may establish more stringent criteria for promotion.</w:t>
      </w:r>
    </w:p>
    <w:p w14:paraId="1BFEBFAD" w14:textId="25394DA8" w:rsidR="003E4E97" w:rsidRPr="00FB4E0B" w:rsidRDefault="003E4E97" w:rsidP="00FB4E0B">
      <w:pPr>
        <w:spacing w:before="100" w:beforeAutospacing="1" w:after="100" w:afterAutospacing="1"/>
        <w:ind w:left="1530" w:hanging="360"/>
        <w:rPr>
          <w:rFonts w:ascii="Times New Roman" w:hAnsi="Times New Roman" w:cs="Times New Roman"/>
        </w:rPr>
      </w:pPr>
      <w:r w:rsidRPr="00FB4E0B">
        <w:rPr>
          <w:rFonts w:ascii="Times New Roman" w:hAnsi="Times New Roman" w:cs="Times New Roman"/>
        </w:rPr>
        <w:t>a.</w:t>
      </w:r>
      <w:r w:rsidRPr="00FB4E0B">
        <w:rPr>
          <w:rFonts w:ascii="Times New Roman" w:hAnsi="Times New Roman" w:cs="Times New Roman"/>
        </w:rPr>
        <w:tab/>
        <w:t xml:space="preserve">An individual is expected to spend a minimum of five years in the rank of Assistant Research Professor before being considered for promotion to Associate Research Professor and have qualifications of the previous title, as appropriate for their teaching/service distribution. </w:t>
      </w:r>
    </w:p>
    <w:p w14:paraId="53D88BF6" w14:textId="2264F36F" w:rsidR="003E4E97" w:rsidRPr="00FB4E0B" w:rsidRDefault="003E4E97" w:rsidP="00FB4E0B">
      <w:pPr>
        <w:spacing w:before="100" w:beforeAutospacing="1" w:after="100" w:afterAutospacing="1"/>
        <w:ind w:left="1530" w:hanging="360"/>
        <w:rPr>
          <w:rFonts w:ascii="Times New Roman" w:hAnsi="Times New Roman" w:cs="Times New Roman"/>
        </w:rPr>
      </w:pPr>
      <w:r w:rsidRPr="00FB4E0B">
        <w:rPr>
          <w:rFonts w:ascii="Times New Roman" w:hAnsi="Times New Roman" w:cs="Times New Roman"/>
        </w:rPr>
        <w:t>b.   An individual is expected to spend a minimum of five years in the rank of an</w:t>
      </w:r>
      <w:r w:rsidR="00E75C6B" w:rsidRPr="00FB4E0B">
        <w:rPr>
          <w:rFonts w:ascii="Times New Roman" w:hAnsi="Times New Roman" w:cs="Times New Roman"/>
        </w:rPr>
        <w:t xml:space="preserve"> </w:t>
      </w:r>
      <w:r w:rsidRPr="00FB4E0B">
        <w:rPr>
          <w:rFonts w:ascii="Times New Roman" w:hAnsi="Times New Roman" w:cs="Times New Roman"/>
        </w:rPr>
        <w:t>Associate Professor</w:t>
      </w:r>
      <w:r w:rsidR="00E75C6B" w:rsidRPr="00FB4E0B">
        <w:rPr>
          <w:rFonts w:ascii="Times New Roman" w:hAnsi="Times New Roman" w:cs="Times New Roman"/>
        </w:rPr>
        <w:t xml:space="preserve"> of</w:t>
      </w:r>
      <w:r w:rsidRPr="00FB4E0B">
        <w:rPr>
          <w:rFonts w:ascii="Times New Roman" w:hAnsi="Times New Roman" w:cs="Times New Roman"/>
        </w:rPr>
        <w:t xml:space="preserve"> Research before being considered for promotion to Professor </w:t>
      </w:r>
      <w:r w:rsidR="00FB4E0B" w:rsidRPr="00FB4E0B">
        <w:rPr>
          <w:rFonts w:ascii="Times New Roman" w:hAnsi="Times New Roman" w:cs="Times New Roman"/>
        </w:rPr>
        <w:t xml:space="preserve">of Research </w:t>
      </w:r>
      <w:r w:rsidRPr="00FB4E0B">
        <w:rPr>
          <w:rFonts w:ascii="Times New Roman" w:hAnsi="Times New Roman" w:cs="Times New Roman"/>
        </w:rPr>
        <w:t xml:space="preserve">and have qualifications of the previous title, as appropriate to their teaching/service distribution. </w:t>
      </w:r>
    </w:p>
    <w:p w14:paraId="2994858B" w14:textId="542A826A" w:rsidR="003E4E97" w:rsidRPr="00FB4E0B" w:rsidRDefault="003E4E97" w:rsidP="00FB4E0B">
      <w:pPr>
        <w:spacing w:before="100" w:beforeAutospacing="1" w:after="100" w:afterAutospacing="1"/>
        <w:ind w:left="1530" w:hanging="360"/>
        <w:rPr>
          <w:rFonts w:ascii="Times New Roman" w:hAnsi="Times New Roman" w:cs="Times New Roman"/>
        </w:rPr>
      </w:pPr>
      <w:r w:rsidRPr="00FB4E0B">
        <w:rPr>
          <w:rFonts w:ascii="Times New Roman" w:hAnsi="Times New Roman" w:cs="Times New Roman"/>
        </w:rPr>
        <w:lastRenderedPageBreak/>
        <w:t>c.    If departments, schools, and colleges adopt more stringent criteria</w:t>
      </w:r>
      <w:r w:rsidR="00E75C6B" w:rsidRPr="00FB4E0B">
        <w:rPr>
          <w:rFonts w:ascii="Times New Roman" w:hAnsi="Times New Roman" w:cs="Times New Roman"/>
        </w:rPr>
        <w:t xml:space="preserve"> </w:t>
      </w:r>
      <w:r w:rsidRPr="00FB4E0B">
        <w:rPr>
          <w:rFonts w:ascii="Times New Roman" w:hAnsi="Times New Roman" w:cs="Times New Roman"/>
        </w:rPr>
        <w:t>for promotion than those outlined above (a-c), such criteria should emerge from a faculty committee. That committee should have Tenure track and Research faculty with all campuses within the department represented</w:t>
      </w:r>
      <w:r w:rsidR="00E75C6B" w:rsidRPr="00FB4E0B">
        <w:rPr>
          <w:rFonts w:ascii="Times New Roman" w:hAnsi="Times New Roman" w:cs="Times New Roman"/>
        </w:rPr>
        <w:t xml:space="preserve"> </w:t>
      </w:r>
      <w:r w:rsidRPr="00FB4E0B">
        <w:rPr>
          <w:rFonts w:ascii="Times New Roman" w:hAnsi="Times New Roman" w:cs="Times New Roman"/>
        </w:rPr>
        <w:t>and should be in consultation with a chair or dean. Any revised or new criteria that are proposed that committee must be approved by a majority of Tenure track and a majority of Research faculty voting separately who shall vote up or down. (Criteria approved and announced prior to July 2015 shall not be subject to a new vote.) In the event of an</w:t>
      </w:r>
      <w:r w:rsidR="00E75C6B" w:rsidRPr="00FB4E0B">
        <w:rPr>
          <w:rFonts w:ascii="Times New Roman" w:hAnsi="Times New Roman" w:cs="Times New Roman"/>
        </w:rPr>
        <w:t xml:space="preserve"> </w:t>
      </w:r>
      <w:r w:rsidRPr="00FB4E0B">
        <w:rPr>
          <w:rFonts w:ascii="Times New Roman" w:hAnsi="Times New Roman" w:cs="Times New Roman"/>
        </w:rPr>
        <w:t>impasse between the department, school, or the college faculty and the dean regarding promotion criteria changes, the standing Committee on Promotion and Tenure of the Faculty Senate shall act as arbiter. Following</w:t>
      </w:r>
      <w:r w:rsidR="00E75C6B" w:rsidRPr="00FB4E0B">
        <w:rPr>
          <w:rFonts w:ascii="Times New Roman" w:hAnsi="Times New Roman" w:cs="Times New Roman"/>
        </w:rPr>
        <w:t xml:space="preserve"> </w:t>
      </w:r>
      <w:r w:rsidRPr="00FB4E0B">
        <w:rPr>
          <w:rFonts w:ascii="Times New Roman" w:hAnsi="Times New Roman" w:cs="Times New Roman"/>
        </w:rPr>
        <w:t xml:space="preserve">promotion criteria revision, units are encouraged to provide a grace period in which faculty already employed at Ohio University may elect to be considered under the earlier criteria as outlined in </w:t>
      </w:r>
      <w:hyperlink w:anchor="Appendix_IX_F" w:history="1">
        <w:r w:rsidRPr="00FB4E0B">
          <w:rPr>
            <w:rStyle w:val="Hyperlink"/>
            <w:rFonts w:ascii="Times New Roman" w:hAnsi="Times New Roman" w:cs="Times New Roman"/>
          </w:rPr>
          <w:t>Appendix IX.F</w:t>
        </w:r>
      </w:hyperlink>
      <w:r w:rsidRPr="00FB4E0B">
        <w:rPr>
          <w:rFonts w:ascii="Times New Roman" w:hAnsi="Times New Roman" w:cs="Times New Roman"/>
        </w:rPr>
        <w:t>.</w:t>
      </w:r>
    </w:p>
    <w:p w14:paraId="60AECD4C" w14:textId="70C0B52C" w:rsidR="003E4E97" w:rsidRPr="00FB4E0B" w:rsidRDefault="003E4E97" w:rsidP="00FB4E0B">
      <w:pPr>
        <w:spacing w:before="100" w:beforeAutospacing="1" w:after="100" w:afterAutospacing="1"/>
        <w:ind w:left="1530" w:hanging="360"/>
        <w:rPr>
          <w:rFonts w:ascii="Times New Roman" w:hAnsi="Times New Roman" w:cs="Times New Roman"/>
        </w:rPr>
      </w:pPr>
      <w:r w:rsidRPr="00FB4E0B">
        <w:rPr>
          <w:rFonts w:ascii="Times New Roman" w:hAnsi="Times New Roman" w:cs="Times New Roman"/>
        </w:rPr>
        <w:t>d.  The criteria used to make decisions on promotion and tenure must originate in the department or school in consultation with the dean. Faculty should revise these criteria periodically (at least every five years) in consulta</w:t>
      </w:r>
      <w:r w:rsidR="00E75C6B" w:rsidRPr="00FB4E0B">
        <w:rPr>
          <w:rFonts w:ascii="Times New Roman" w:hAnsi="Times New Roman" w:cs="Times New Roman"/>
        </w:rPr>
        <w:t>tion</w:t>
      </w:r>
      <w:r w:rsidRPr="00FB4E0B">
        <w:rPr>
          <w:rFonts w:ascii="Times New Roman" w:hAnsi="Times New Roman" w:cs="Times New Roman"/>
        </w:rPr>
        <w:t xml:space="preserve"> with the dean of the college. These criteria and any changes made to them</w:t>
      </w:r>
      <w:r w:rsidR="00E75C6B" w:rsidRPr="00FB4E0B">
        <w:rPr>
          <w:rFonts w:ascii="Times New Roman" w:hAnsi="Times New Roman" w:cs="Times New Roman"/>
        </w:rPr>
        <w:t xml:space="preserve"> </w:t>
      </w:r>
      <w:r w:rsidRPr="00FB4E0B">
        <w:rPr>
          <w:rFonts w:ascii="Times New Roman" w:hAnsi="Times New Roman" w:cs="Times New Roman"/>
        </w:rPr>
        <w:t>must be approved by a majority Tenure-track faculty of the department or</w:t>
      </w:r>
      <w:r w:rsidR="00E75C6B" w:rsidRPr="00FB4E0B">
        <w:rPr>
          <w:rFonts w:ascii="Times New Roman" w:hAnsi="Times New Roman" w:cs="Times New Roman"/>
        </w:rPr>
        <w:t xml:space="preserve"> </w:t>
      </w:r>
      <w:r w:rsidRPr="00FB4E0B">
        <w:rPr>
          <w:rFonts w:ascii="Times New Roman" w:hAnsi="Times New Roman" w:cs="Times New Roman"/>
        </w:rPr>
        <w:t>school. In the event of an impasse between the department or school and</w:t>
      </w:r>
      <w:r w:rsidR="00E75C6B" w:rsidRPr="00FB4E0B">
        <w:rPr>
          <w:rFonts w:ascii="Times New Roman" w:hAnsi="Times New Roman" w:cs="Times New Roman"/>
        </w:rPr>
        <w:t xml:space="preserve"> </w:t>
      </w:r>
      <w:r w:rsidRPr="00FB4E0B">
        <w:rPr>
          <w:rFonts w:ascii="Times New Roman" w:hAnsi="Times New Roman" w:cs="Times New Roman"/>
        </w:rPr>
        <w:t>the dean, the standing committee on Promotion and Tenure of the Faculty</w:t>
      </w:r>
      <w:r w:rsidR="00E75C6B" w:rsidRPr="00FB4E0B">
        <w:rPr>
          <w:rFonts w:ascii="Times New Roman" w:hAnsi="Times New Roman" w:cs="Times New Roman"/>
        </w:rPr>
        <w:t xml:space="preserve"> </w:t>
      </w:r>
      <w:r w:rsidRPr="00FB4E0B">
        <w:rPr>
          <w:rFonts w:ascii="Times New Roman" w:hAnsi="Times New Roman" w:cs="Times New Roman"/>
        </w:rPr>
        <w:t xml:space="preserve">Senate shall act as an arbiter. </w:t>
      </w:r>
      <w:r w:rsidR="00E75C6B" w:rsidRPr="00FB4E0B">
        <w:rPr>
          <w:rFonts w:ascii="Times New Roman" w:hAnsi="Times New Roman" w:cs="Times New Roman"/>
        </w:rPr>
        <w:t xml:space="preserve"> </w:t>
      </w:r>
      <w:r w:rsidRPr="00FB4E0B">
        <w:rPr>
          <w:rFonts w:ascii="Times New Roman" w:hAnsi="Times New Roman" w:cs="Times New Roman"/>
        </w:rPr>
        <w:t xml:space="preserve">If a college has written promotion and tenure criteria, these criteria and any changes made to them should originate in meetings of faculty, as a whole or by committee in consultation with the dean. The criteria and any changes made to them must be approved by the Tenure-track faculty in the college. In the event of an impasse between the college faculty and the dean, the standing committee on Promotion and Tenure of the Faculty Senate shall act as an arbiter. </w:t>
      </w:r>
    </w:p>
    <w:p w14:paraId="56195CB2" w14:textId="3D849C08" w:rsidR="003E4E97" w:rsidRPr="00FB4E0B" w:rsidRDefault="003E4E97" w:rsidP="00FB4E0B">
      <w:pPr>
        <w:tabs>
          <w:tab w:val="left" w:pos="2250"/>
        </w:tabs>
        <w:spacing w:before="100" w:beforeAutospacing="1" w:after="100" w:afterAutospacing="1"/>
        <w:ind w:left="2070" w:hanging="270"/>
        <w:rPr>
          <w:rFonts w:ascii="Times New Roman" w:hAnsi="Times New Roman" w:cs="Times New Roman"/>
        </w:rPr>
      </w:pPr>
      <w:r w:rsidRPr="00FB4E0B">
        <w:rPr>
          <w:rFonts w:ascii="Times New Roman" w:hAnsi="Times New Roman" w:cs="Times New Roman"/>
        </w:rPr>
        <w:t>i.   In the event that promotion is denied, a faculty member has a righ</w:t>
      </w:r>
      <w:r w:rsidR="00E75C6B" w:rsidRPr="00FB4E0B">
        <w:rPr>
          <w:rFonts w:ascii="Times New Roman" w:hAnsi="Times New Roman" w:cs="Times New Roman"/>
        </w:rPr>
        <w:t xml:space="preserve">t to </w:t>
      </w:r>
      <w:r w:rsidRPr="00FB4E0B">
        <w:rPr>
          <w:rFonts w:ascii="Times New Roman" w:hAnsi="Times New Roman" w:cs="Times New Roman"/>
        </w:rPr>
        <w:t xml:space="preserve">appeal. The appeal process is outlined in </w:t>
      </w:r>
      <w:hyperlink w:anchor="section_II_F" w:history="1">
        <w:r w:rsidRPr="00FB4E0B">
          <w:rPr>
            <w:rStyle w:val="Hyperlink"/>
            <w:rFonts w:ascii="Times New Roman" w:hAnsi="Times New Roman" w:cs="Times New Roman"/>
          </w:rPr>
          <w:t>Section II.F</w:t>
        </w:r>
      </w:hyperlink>
      <w:r w:rsidRPr="00FB4E0B">
        <w:rPr>
          <w:rFonts w:ascii="Times New Roman" w:hAnsi="Times New Roman" w:cs="Times New Roman"/>
        </w:rPr>
        <w:t xml:space="preserve"> of the </w:t>
      </w:r>
      <w:r w:rsidRPr="00FB4E0B">
        <w:rPr>
          <w:rFonts w:ascii="Times New Roman" w:hAnsi="Times New Roman" w:cs="Times New Roman"/>
          <w:i/>
        </w:rPr>
        <w:t>Facu</w:t>
      </w:r>
      <w:r w:rsidR="00E75C6B" w:rsidRPr="00FB4E0B">
        <w:rPr>
          <w:rFonts w:ascii="Times New Roman" w:hAnsi="Times New Roman" w:cs="Times New Roman"/>
          <w:i/>
        </w:rPr>
        <w:t xml:space="preserve">lty </w:t>
      </w:r>
      <w:r w:rsidRPr="00FB4E0B">
        <w:rPr>
          <w:rFonts w:ascii="Times New Roman" w:hAnsi="Times New Roman" w:cs="Times New Roman"/>
          <w:i/>
        </w:rPr>
        <w:t>Handbook</w:t>
      </w:r>
      <w:r w:rsidRPr="00FB4E0B">
        <w:rPr>
          <w:rFonts w:ascii="Times New Roman" w:hAnsi="Times New Roman" w:cs="Times New Roman"/>
        </w:rPr>
        <w:t>.</w:t>
      </w:r>
    </w:p>
    <w:p w14:paraId="62109BAD" w14:textId="6C74678E" w:rsidR="003E4E97" w:rsidRPr="00FB4E0B" w:rsidRDefault="003E4E97" w:rsidP="00FB4E0B">
      <w:pPr>
        <w:pStyle w:val="ListParagraph"/>
        <w:spacing w:before="100" w:beforeAutospacing="1" w:after="100" w:afterAutospacing="1"/>
        <w:ind w:left="2070" w:hanging="270"/>
        <w:rPr>
          <w:rFonts w:ascii="Times New Roman" w:hAnsi="Times New Roman" w:cs="Times New Roman"/>
        </w:rPr>
      </w:pPr>
      <w:r w:rsidRPr="00FB4E0B">
        <w:rPr>
          <w:rFonts w:ascii="Times New Roman" w:hAnsi="Times New Roman" w:cs="Times New Roman"/>
        </w:rPr>
        <w:t>ii. Research Faculty may negotiate a shift from a full-time to a part-time appointment, or from a part-time to a full-time appointment without loss of rank.</w:t>
      </w:r>
    </w:p>
    <w:p w14:paraId="68144FA5" w14:textId="4ED47508" w:rsidR="003E4E97" w:rsidRPr="00FB4E0B" w:rsidRDefault="003E4E97" w:rsidP="00FB4E0B">
      <w:pPr>
        <w:tabs>
          <w:tab w:val="left" w:pos="2250"/>
        </w:tabs>
        <w:spacing w:before="100" w:beforeAutospacing="1" w:after="100" w:afterAutospacing="1"/>
        <w:ind w:left="2070" w:hanging="360"/>
        <w:rPr>
          <w:rFonts w:ascii="Times New Roman" w:hAnsi="Times New Roman" w:cs="Times New Roman"/>
        </w:rPr>
      </w:pPr>
      <w:r w:rsidRPr="00FB4E0B">
        <w:rPr>
          <w:rFonts w:ascii="Times New Roman" w:hAnsi="Times New Roman" w:cs="Times New Roman"/>
        </w:rPr>
        <w:t xml:space="preserve">iii.  Part-time Research faculty who are on nine-month contracts shall be eligible for retirement according to the State Teachers Retirement System  (or in some circumstances the Alternative Retirement Plan—see </w:t>
      </w:r>
      <w:hyperlink w:anchor="Section_III_L" w:history="1">
        <w:r w:rsidRPr="00FB4E0B">
          <w:rPr>
            <w:rStyle w:val="Hyperlink"/>
            <w:rFonts w:ascii="Times New Roman" w:hAnsi="Times New Roman" w:cs="Times New Roman"/>
          </w:rPr>
          <w:t>Section III.L</w:t>
        </w:r>
      </w:hyperlink>
      <w:r w:rsidRPr="00FB4E0B">
        <w:rPr>
          <w:rFonts w:ascii="Times New Roman" w:hAnsi="Times New Roman" w:cs="Times New Roman"/>
        </w:rPr>
        <w:t xml:space="preserve">), Group Life Insurance, Major Medical Insurance, Dental Insurance, Travel Accident Insurance, </w:t>
      </w:r>
      <w:r w:rsidRPr="00FB4E0B">
        <w:rPr>
          <w:rFonts w:ascii="Times New Roman" w:hAnsi="Times New Roman" w:cs="Times New Roman"/>
        </w:rPr>
        <w:lastRenderedPageBreak/>
        <w:t>membership in the Ohio University Employee Credit Union, Tax-Deferred Annuities, Twelve-Month Pay Option</w:t>
      </w:r>
      <w:r w:rsidR="001005D8">
        <w:rPr>
          <w:rFonts w:ascii="Times New Roman" w:hAnsi="Times New Roman" w:cs="Times New Roman"/>
        </w:rPr>
        <w:t xml:space="preserve"> (if on less than 12 month contract)</w:t>
      </w:r>
      <w:r w:rsidRPr="00FB4E0B">
        <w:rPr>
          <w:rFonts w:ascii="Times New Roman" w:hAnsi="Times New Roman" w:cs="Times New Roman"/>
        </w:rPr>
        <w:t>, and parking privileges. Research Faculty who have an FTE of 0.67 or greater on an academic year basis shall be considered full-time for the purpose of being eligible to participate in alternative retirement plans.</w:t>
      </w:r>
    </w:p>
    <w:p w14:paraId="084B061A" w14:textId="4435521A" w:rsidR="003E4E97" w:rsidRPr="00FB4E0B" w:rsidRDefault="003E4E97" w:rsidP="00FB4E0B">
      <w:pPr>
        <w:tabs>
          <w:tab w:val="left" w:pos="1980"/>
        </w:tabs>
        <w:spacing w:before="100" w:beforeAutospacing="1" w:after="100" w:afterAutospacing="1"/>
        <w:ind w:left="1800" w:hanging="360"/>
        <w:rPr>
          <w:rFonts w:ascii="Times New Roman" w:hAnsi="Times New Roman" w:cs="Times New Roman"/>
        </w:rPr>
      </w:pPr>
      <w:r w:rsidRPr="00FB4E0B">
        <w:rPr>
          <w:rFonts w:ascii="Times New Roman" w:hAnsi="Times New Roman" w:cs="Times New Roman"/>
        </w:rPr>
        <w:t xml:space="preserve">e.  Research faculty (with an FTE of 0.80 or above) have the right to stand for election and to vote to elect up to </w:t>
      </w:r>
      <w:r w:rsidR="001005D8">
        <w:rPr>
          <w:rFonts w:ascii="Times New Roman" w:hAnsi="Times New Roman" w:cs="Times New Roman"/>
        </w:rPr>
        <w:t>??</w:t>
      </w:r>
      <w:r w:rsidRPr="00FB4E0B">
        <w:rPr>
          <w:rFonts w:ascii="Times New Roman" w:hAnsi="Times New Roman" w:cs="Times New Roman"/>
        </w:rPr>
        <w:t xml:space="preserve"> senators from </w:t>
      </w:r>
      <w:r w:rsidR="001005D8">
        <w:rPr>
          <w:rFonts w:ascii="Times New Roman" w:hAnsi="Times New Roman" w:cs="Times New Roman"/>
        </w:rPr>
        <w:t>Research</w:t>
      </w:r>
      <w:r w:rsidRPr="00FB4E0B">
        <w:rPr>
          <w:rFonts w:ascii="Times New Roman" w:hAnsi="Times New Roman" w:cs="Times New Roman"/>
        </w:rPr>
        <w:t xml:space="preserve"> faculty to serve on Faculty Senate.</w:t>
      </w:r>
    </w:p>
    <w:p w14:paraId="65A163FA" w14:textId="275BBC36" w:rsidR="003E4E97" w:rsidRPr="001005D8" w:rsidRDefault="003E4E97" w:rsidP="00FB4E0B">
      <w:pPr>
        <w:pStyle w:val="ListParagraph"/>
        <w:tabs>
          <w:tab w:val="left" w:pos="1980"/>
        </w:tabs>
        <w:spacing w:before="100" w:beforeAutospacing="1" w:after="100" w:afterAutospacing="1"/>
        <w:ind w:left="1800" w:hanging="360"/>
        <w:rPr>
          <w:rFonts w:ascii="Times New Roman" w:hAnsi="Times New Roman" w:cs="Times New Roman"/>
          <w:color w:val="FF0000"/>
        </w:rPr>
      </w:pPr>
      <w:r w:rsidRPr="00FB4E0B">
        <w:rPr>
          <w:rFonts w:ascii="Times New Roman" w:hAnsi="Times New Roman" w:cs="Times New Roman"/>
        </w:rPr>
        <w:t xml:space="preserve">f.   Research faculty are encouraged to participate in activities to promote professional development directly related to their responsibilities. Departments should support professional development activities directly related to a faculty member’s responsibilities. </w:t>
      </w:r>
      <w:r w:rsidRPr="001005D8">
        <w:rPr>
          <w:rFonts w:ascii="Times New Roman" w:hAnsi="Times New Roman" w:cs="Times New Roman"/>
        </w:rPr>
        <w:t>Research faculty are eligible for program grants, development awards and funds (with the exception of Faculty Fellowship leaves, Presidential Research Scholar Awards, Distinguished Professor)</w:t>
      </w:r>
      <w:r w:rsidR="00581B35">
        <w:rPr>
          <w:rFonts w:ascii="Times New Roman" w:hAnsi="Times New Roman" w:cs="Times New Roman"/>
        </w:rPr>
        <w:t>.</w:t>
      </w:r>
    </w:p>
    <w:p w14:paraId="03BD7B9A" w14:textId="1188EB92" w:rsidR="00220EDD" w:rsidRPr="001005D8" w:rsidRDefault="00220EDD" w:rsidP="00FB4E0B">
      <w:pPr>
        <w:widowControl w:val="0"/>
        <w:autoSpaceDE w:val="0"/>
        <w:autoSpaceDN w:val="0"/>
        <w:adjustRightInd w:val="0"/>
        <w:spacing w:before="100" w:beforeAutospacing="1" w:after="100" w:afterAutospacing="1"/>
        <w:ind w:right="-810" w:hanging="360"/>
        <w:rPr>
          <w:rFonts w:ascii="Times New Roman" w:hAnsi="Times New Roman" w:cs="Times New Roman"/>
        </w:rPr>
      </w:pPr>
    </w:p>
    <w:sectPr w:rsidR="00220EDD" w:rsidRPr="001005D8" w:rsidSect="00302CF9">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Bold"/>
    <w:panose1 w:val="020B0604020202020204"/>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EB7"/>
    <w:multiLevelType w:val="hybridMultilevel"/>
    <w:tmpl w:val="79FADBAE"/>
    <w:lvl w:ilvl="0" w:tplc="E18A2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8D6488"/>
    <w:multiLevelType w:val="hybridMultilevel"/>
    <w:tmpl w:val="AB1CED32"/>
    <w:lvl w:ilvl="0" w:tplc="533456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54C"/>
    <w:multiLevelType w:val="hybridMultilevel"/>
    <w:tmpl w:val="6D64324A"/>
    <w:lvl w:ilvl="0" w:tplc="C4907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91773"/>
    <w:multiLevelType w:val="hybridMultilevel"/>
    <w:tmpl w:val="F33CEEA8"/>
    <w:lvl w:ilvl="0" w:tplc="21B6A9E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4E1F"/>
    <w:multiLevelType w:val="hybridMultilevel"/>
    <w:tmpl w:val="0E84298E"/>
    <w:lvl w:ilvl="0" w:tplc="B23068A2">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9909">
    <w:abstractNumId w:val="4"/>
  </w:num>
  <w:num w:numId="2" w16cid:durableId="1720206717">
    <w:abstractNumId w:val="3"/>
  </w:num>
  <w:num w:numId="3" w16cid:durableId="2083604271">
    <w:abstractNumId w:val="0"/>
  </w:num>
  <w:num w:numId="4" w16cid:durableId="1514152993">
    <w:abstractNumId w:val="2"/>
  </w:num>
  <w:num w:numId="5" w16cid:durableId="133865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DF"/>
    <w:rsid w:val="00045AAB"/>
    <w:rsid w:val="0005637E"/>
    <w:rsid w:val="000921DF"/>
    <w:rsid w:val="000B2B89"/>
    <w:rsid w:val="001005D8"/>
    <w:rsid w:val="00141BA1"/>
    <w:rsid w:val="0018346F"/>
    <w:rsid w:val="001924A8"/>
    <w:rsid w:val="001E75C0"/>
    <w:rsid w:val="00205F66"/>
    <w:rsid w:val="00220EDD"/>
    <w:rsid w:val="00221486"/>
    <w:rsid w:val="00225220"/>
    <w:rsid w:val="0024371E"/>
    <w:rsid w:val="0025799E"/>
    <w:rsid w:val="0027314F"/>
    <w:rsid w:val="0027642F"/>
    <w:rsid w:val="002F1B32"/>
    <w:rsid w:val="00302CF9"/>
    <w:rsid w:val="003735D8"/>
    <w:rsid w:val="003E4E97"/>
    <w:rsid w:val="003F44B3"/>
    <w:rsid w:val="004266F5"/>
    <w:rsid w:val="00464EB0"/>
    <w:rsid w:val="004662CB"/>
    <w:rsid w:val="00485D10"/>
    <w:rsid w:val="0049231A"/>
    <w:rsid w:val="004F5482"/>
    <w:rsid w:val="00527C14"/>
    <w:rsid w:val="005525AA"/>
    <w:rsid w:val="00581B35"/>
    <w:rsid w:val="005C2976"/>
    <w:rsid w:val="006462AC"/>
    <w:rsid w:val="006D13EB"/>
    <w:rsid w:val="006D54B0"/>
    <w:rsid w:val="006D641B"/>
    <w:rsid w:val="007638E3"/>
    <w:rsid w:val="007819A4"/>
    <w:rsid w:val="007B0438"/>
    <w:rsid w:val="007D64ED"/>
    <w:rsid w:val="00823A2E"/>
    <w:rsid w:val="00846B92"/>
    <w:rsid w:val="00916D7B"/>
    <w:rsid w:val="00A255F2"/>
    <w:rsid w:val="00A60E3C"/>
    <w:rsid w:val="00A6353E"/>
    <w:rsid w:val="00A85B25"/>
    <w:rsid w:val="00AD68C5"/>
    <w:rsid w:val="00B17404"/>
    <w:rsid w:val="00B17CC2"/>
    <w:rsid w:val="00B32CC1"/>
    <w:rsid w:val="00B546C1"/>
    <w:rsid w:val="00C308A6"/>
    <w:rsid w:val="00D9199F"/>
    <w:rsid w:val="00DB63A9"/>
    <w:rsid w:val="00E615D3"/>
    <w:rsid w:val="00E75C6B"/>
    <w:rsid w:val="00ED7233"/>
    <w:rsid w:val="00F24611"/>
    <w:rsid w:val="00F452D4"/>
    <w:rsid w:val="00FA3105"/>
    <w:rsid w:val="00FB4E0B"/>
    <w:rsid w:val="00FC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14689"/>
  <w15:docId w15:val="{10415750-1367-4026-8D30-2FCFE53D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82"/>
    <w:pPr>
      <w:spacing w:line="240" w:lineRule="auto"/>
    </w:pPr>
    <w:rPr>
      <w:rFonts w:eastAsiaTheme="minorEastAsia"/>
      <w:sz w:val="24"/>
      <w:szCs w:val="24"/>
      <w:lang w:eastAsia="ja-JP"/>
    </w:rPr>
  </w:style>
  <w:style w:type="paragraph" w:styleId="Heading3">
    <w:name w:val="heading 3"/>
    <w:basedOn w:val="Normal"/>
    <w:next w:val="Normal"/>
    <w:link w:val="Heading3Char"/>
    <w:uiPriority w:val="9"/>
    <w:unhideWhenUsed/>
    <w:qFormat/>
    <w:rsid w:val="003E4E97"/>
    <w:pPr>
      <w:keepNext/>
      <w:keepLines/>
      <w:spacing w:after="0"/>
      <w:outlineLvl w:val="2"/>
    </w:pPr>
    <w:rPr>
      <w:rFonts w:asciiTheme="majorHAnsi" w:eastAsiaTheme="majorEastAsia" w:hAnsiTheme="majorHAnsi" w:cstheme="majorBidi"/>
      <w:b/>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1D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64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2F"/>
    <w:rPr>
      <w:rFonts w:ascii="Tahoma" w:hAnsi="Tahoma" w:cs="Tahoma"/>
      <w:sz w:val="16"/>
      <w:szCs w:val="16"/>
    </w:rPr>
  </w:style>
  <w:style w:type="character" w:styleId="CommentReference">
    <w:name w:val="annotation reference"/>
    <w:uiPriority w:val="99"/>
    <w:rsid w:val="00F452D4"/>
    <w:rPr>
      <w:sz w:val="16"/>
      <w:szCs w:val="16"/>
    </w:rPr>
  </w:style>
  <w:style w:type="paragraph" w:styleId="CommentText">
    <w:name w:val="annotation text"/>
    <w:basedOn w:val="Normal"/>
    <w:link w:val="CommentTextChar"/>
    <w:uiPriority w:val="99"/>
    <w:rsid w:val="00F452D4"/>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F452D4"/>
    <w:rPr>
      <w:rFonts w:ascii="Calibri" w:eastAsia="Times New Roman" w:hAnsi="Calibri" w:cs="Times New Roman"/>
      <w:sz w:val="20"/>
      <w:szCs w:val="20"/>
    </w:rPr>
  </w:style>
  <w:style w:type="paragraph" w:styleId="ListParagraph">
    <w:name w:val="List Paragraph"/>
    <w:basedOn w:val="Normal"/>
    <w:uiPriority w:val="34"/>
    <w:qFormat/>
    <w:rsid w:val="0018346F"/>
    <w:pPr>
      <w:ind w:left="720"/>
      <w:contextualSpacing/>
    </w:pPr>
  </w:style>
  <w:style w:type="paragraph" w:styleId="CommentSubject">
    <w:name w:val="annotation subject"/>
    <w:basedOn w:val="CommentText"/>
    <w:next w:val="CommentText"/>
    <w:link w:val="CommentSubjectChar"/>
    <w:uiPriority w:val="99"/>
    <w:semiHidden/>
    <w:unhideWhenUsed/>
    <w:rsid w:val="006D13E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D13EB"/>
    <w:rPr>
      <w:rFonts w:ascii="Calibri" w:eastAsiaTheme="minorEastAsia" w:hAnsi="Calibri" w:cs="Times New Roman"/>
      <w:b/>
      <w:bCs/>
      <w:sz w:val="20"/>
      <w:szCs w:val="20"/>
      <w:lang w:eastAsia="ja-JP"/>
    </w:rPr>
  </w:style>
  <w:style w:type="character" w:customStyle="1" w:styleId="Heading3Char">
    <w:name w:val="Heading 3 Char"/>
    <w:basedOn w:val="DefaultParagraphFont"/>
    <w:link w:val="Heading3"/>
    <w:uiPriority w:val="9"/>
    <w:rsid w:val="003E4E97"/>
    <w:rPr>
      <w:rFonts w:asciiTheme="majorHAnsi" w:eastAsiaTheme="majorEastAsia" w:hAnsiTheme="majorHAnsi" w:cstheme="majorBidi"/>
      <w:b/>
      <w:szCs w:val="28"/>
    </w:rPr>
  </w:style>
  <w:style w:type="character" w:styleId="Hyperlink">
    <w:name w:val="Hyperlink"/>
    <w:uiPriority w:val="99"/>
    <w:rsid w:val="003E4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User64</dc:creator>
  <cp:lastModifiedBy>Brock, Angela</cp:lastModifiedBy>
  <cp:revision>2</cp:revision>
  <cp:lastPrinted>2012-05-07T14:38:00Z</cp:lastPrinted>
  <dcterms:created xsi:type="dcterms:W3CDTF">2024-02-28T15:55:00Z</dcterms:created>
  <dcterms:modified xsi:type="dcterms:W3CDTF">2024-02-28T15:55:00Z</dcterms:modified>
</cp:coreProperties>
</file>