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3FEE" w14:textId="77777777" w:rsidR="006C274F" w:rsidRDefault="00000000">
      <w:pPr>
        <w:spacing w:after="38"/>
        <w:ind w:left="16" w:right="2" w:hanging="10"/>
        <w:jc w:val="center"/>
      </w:pPr>
      <w:r>
        <w:rPr>
          <w:rFonts w:ascii="Times New Roman" w:eastAsia="Times New Roman" w:hAnsi="Times New Roman" w:cs="Times New Roman"/>
          <w:b/>
        </w:rPr>
        <w:t xml:space="preserve">MEMO </w:t>
      </w:r>
    </w:p>
    <w:p w14:paraId="3C0F7024" w14:textId="483989C1" w:rsidR="006C274F" w:rsidRDefault="00631478">
      <w:pPr>
        <w:spacing w:after="0"/>
        <w:ind w:left="16" w:hanging="10"/>
        <w:jc w:val="center"/>
      </w:pPr>
      <w:r>
        <w:rPr>
          <w:rFonts w:ascii="Times New Roman" w:eastAsia="Times New Roman" w:hAnsi="Times New Roman" w:cs="Times New Roman"/>
          <w:b/>
        </w:rPr>
        <w:t>Second</w:t>
      </w:r>
      <w:r w:rsidR="00000000">
        <w:rPr>
          <w:rFonts w:ascii="Times New Roman" w:eastAsia="Times New Roman" w:hAnsi="Times New Roman" w:cs="Times New Roman"/>
          <w:b/>
        </w:rPr>
        <w:t xml:space="preserve"> reading</w:t>
      </w:r>
    </w:p>
    <w:tbl>
      <w:tblPr>
        <w:tblStyle w:val="TableGrid"/>
        <w:tblW w:w="9391" w:type="dxa"/>
        <w:tblInd w:w="99" w:type="dxa"/>
        <w:tblCellMar>
          <w:top w:w="44" w:type="dxa"/>
          <w:left w:w="107" w:type="dxa"/>
          <w:bottom w:w="0" w:type="dxa"/>
          <w:right w:w="44" w:type="dxa"/>
        </w:tblCellMar>
        <w:tblLook w:val="04A0" w:firstRow="1" w:lastRow="0" w:firstColumn="1" w:lastColumn="0" w:noHBand="0" w:noVBand="1"/>
      </w:tblPr>
      <w:tblGrid>
        <w:gridCol w:w="1196"/>
        <w:gridCol w:w="8195"/>
      </w:tblGrid>
      <w:tr w:rsidR="006C274F" w14:paraId="31BAE51B" w14:textId="77777777">
        <w:trPr>
          <w:trHeight w:val="301"/>
        </w:trPr>
        <w:tc>
          <w:tcPr>
            <w:tcW w:w="1196" w:type="dxa"/>
            <w:vMerge w:val="restart"/>
            <w:tcBorders>
              <w:top w:val="dashed" w:sz="4" w:space="0" w:color="000000"/>
              <w:left w:val="nil"/>
              <w:bottom w:val="dashed" w:sz="4" w:space="0" w:color="000000"/>
              <w:right w:val="single" w:sz="4" w:space="0" w:color="7E7E7E"/>
            </w:tcBorders>
          </w:tcPr>
          <w:p w14:paraId="374DF763" w14:textId="77777777" w:rsidR="006C274F" w:rsidRDefault="00000000">
            <w:pPr>
              <w:spacing w:after="0"/>
              <w:ind w:right="62"/>
              <w:jc w:val="right"/>
            </w:pPr>
            <w:r>
              <w:rPr>
                <w:rFonts w:ascii="Times New Roman" w:eastAsia="Times New Roman" w:hAnsi="Times New Roman" w:cs="Times New Roman"/>
                <w:i/>
                <w:sz w:val="26"/>
              </w:rPr>
              <w:t xml:space="preserve">From </w:t>
            </w:r>
          </w:p>
          <w:p w14:paraId="4518506E" w14:textId="77777777" w:rsidR="006C274F" w:rsidRDefault="00000000">
            <w:pPr>
              <w:spacing w:after="0"/>
              <w:ind w:right="63"/>
              <w:jc w:val="right"/>
            </w:pPr>
            <w:r>
              <w:rPr>
                <w:rFonts w:ascii="Times New Roman" w:eastAsia="Times New Roman" w:hAnsi="Times New Roman" w:cs="Times New Roman"/>
                <w:i/>
                <w:sz w:val="26"/>
              </w:rPr>
              <w:t xml:space="preserve">Subject Date </w:t>
            </w:r>
          </w:p>
        </w:tc>
        <w:tc>
          <w:tcPr>
            <w:tcW w:w="8195" w:type="dxa"/>
            <w:tcBorders>
              <w:top w:val="dashed" w:sz="4" w:space="0" w:color="000000"/>
              <w:left w:val="single" w:sz="4" w:space="0" w:color="7E7E7E"/>
              <w:bottom w:val="nil"/>
              <w:right w:val="nil"/>
            </w:tcBorders>
            <w:shd w:val="clear" w:color="auto" w:fill="F1F1F1"/>
          </w:tcPr>
          <w:p w14:paraId="50D26008" w14:textId="77777777" w:rsidR="006C274F" w:rsidRDefault="00000000">
            <w:pPr>
              <w:spacing w:after="0"/>
            </w:pPr>
            <w:r>
              <w:rPr>
                <w:rFonts w:ascii="Times New Roman" w:eastAsia="Times New Roman" w:hAnsi="Times New Roman" w:cs="Times New Roman"/>
              </w:rPr>
              <w:t xml:space="preserve">UCC General Education Committee </w:t>
            </w:r>
          </w:p>
        </w:tc>
      </w:tr>
      <w:tr w:rsidR="006C274F" w14:paraId="1CCE1EA7" w14:textId="77777777">
        <w:trPr>
          <w:trHeight w:val="300"/>
        </w:trPr>
        <w:tc>
          <w:tcPr>
            <w:tcW w:w="0" w:type="auto"/>
            <w:vMerge/>
            <w:tcBorders>
              <w:top w:val="nil"/>
              <w:left w:val="nil"/>
              <w:bottom w:val="nil"/>
              <w:right w:val="single" w:sz="4" w:space="0" w:color="7E7E7E"/>
            </w:tcBorders>
          </w:tcPr>
          <w:p w14:paraId="69F3FA3F" w14:textId="77777777" w:rsidR="006C274F" w:rsidRDefault="006C274F"/>
        </w:tc>
        <w:tc>
          <w:tcPr>
            <w:tcW w:w="8195" w:type="dxa"/>
            <w:tcBorders>
              <w:top w:val="nil"/>
              <w:left w:val="single" w:sz="4" w:space="0" w:color="7E7E7E"/>
              <w:bottom w:val="nil"/>
              <w:right w:val="nil"/>
            </w:tcBorders>
          </w:tcPr>
          <w:p w14:paraId="4FD440FE" w14:textId="77777777" w:rsidR="006C274F" w:rsidRDefault="00000000">
            <w:pPr>
              <w:spacing w:after="0"/>
            </w:pPr>
            <w:r>
              <w:rPr>
                <w:rFonts w:ascii="Times New Roman" w:eastAsia="Times New Roman" w:hAnsi="Times New Roman" w:cs="Times New Roman"/>
              </w:rPr>
              <w:t xml:space="preserve">Undergraduate Catalog Language for Associate Degrees and BRICKS </w:t>
            </w:r>
          </w:p>
        </w:tc>
      </w:tr>
      <w:tr w:rsidR="006C274F" w14:paraId="1065C726" w14:textId="77777777">
        <w:trPr>
          <w:trHeight w:val="302"/>
        </w:trPr>
        <w:tc>
          <w:tcPr>
            <w:tcW w:w="0" w:type="auto"/>
            <w:vMerge/>
            <w:tcBorders>
              <w:top w:val="nil"/>
              <w:left w:val="nil"/>
              <w:bottom w:val="dashed" w:sz="4" w:space="0" w:color="000000"/>
              <w:right w:val="single" w:sz="4" w:space="0" w:color="7E7E7E"/>
            </w:tcBorders>
          </w:tcPr>
          <w:p w14:paraId="2A7A9FFF" w14:textId="77777777" w:rsidR="006C274F" w:rsidRDefault="006C274F"/>
        </w:tc>
        <w:tc>
          <w:tcPr>
            <w:tcW w:w="8195" w:type="dxa"/>
            <w:tcBorders>
              <w:top w:val="nil"/>
              <w:left w:val="single" w:sz="4" w:space="0" w:color="7E7E7E"/>
              <w:bottom w:val="dashed" w:sz="4" w:space="0" w:color="000000"/>
              <w:right w:val="nil"/>
            </w:tcBorders>
            <w:shd w:val="clear" w:color="auto" w:fill="F1F1F1"/>
          </w:tcPr>
          <w:p w14:paraId="3D58BD5F" w14:textId="020190D0" w:rsidR="006C274F" w:rsidRDefault="00631478">
            <w:pPr>
              <w:spacing w:after="0"/>
            </w:pPr>
            <w:r>
              <w:rPr>
                <w:rFonts w:ascii="Times New Roman" w:eastAsia="Times New Roman" w:hAnsi="Times New Roman" w:cs="Times New Roman"/>
              </w:rPr>
              <w:t>October 11, 2022</w:t>
            </w:r>
          </w:p>
        </w:tc>
      </w:tr>
    </w:tbl>
    <w:p w14:paraId="2B95A3EB" w14:textId="77777777" w:rsidR="006C274F" w:rsidRDefault="00000000">
      <w:pPr>
        <w:spacing w:after="0"/>
        <w:ind w:left="1"/>
      </w:pPr>
      <w:r>
        <w:rPr>
          <w:rFonts w:ascii="Times New Roman" w:eastAsia="Times New Roman" w:hAnsi="Times New Roman" w:cs="Times New Roman"/>
          <w:b/>
          <w:sz w:val="21"/>
        </w:rPr>
        <w:t xml:space="preserve"> </w:t>
      </w:r>
    </w:p>
    <w:p w14:paraId="26BE412B" w14:textId="77777777" w:rsidR="006C274F" w:rsidRDefault="00000000">
      <w:pPr>
        <w:spacing w:after="0" w:line="248" w:lineRule="auto"/>
        <w:ind w:left="115" w:hanging="9"/>
      </w:pPr>
      <w:r>
        <w:rPr>
          <w:rFonts w:ascii="Times New Roman" w:eastAsia="Times New Roman" w:hAnsi="Times New Roman" w:cs="Times New Roman"/>
        </w:rPr>
        <w:t xml:space="preserve">The purpose of this memo is to document a proposed amendment to the Undergraduate Catalog language concerning BRICKS requirements for academic associate degrees. </w:t>
      </w:r>
    </w:p>
    <w:p w14:paraId="6BD6DD71" w14:textId="77777777" w:rsidR="006C274F" w:rsidRDefault="00000000">
      <w:pPr>
        <w:spacing w:after="0"/>
        <w:ind w:left="1"/>
      </w:pPr>
      <w:r>
        <w:rPr>
          <w:rFonts w:ascii="Times New Roman" w:eastAsia="Times New Roman" w:hAnsi="Times New Roman" w:cs="Times New Roman"/>
          <w:sz w:val="21"/>
        </w:rPr>
        <w:t xml:space="preserve"> </w:t>
      </w:r>
    </w:p>
    <w:p w14:paraId="2CFA3B8D" w14:textId="77777777" w:rsidR="006C274F" w:rsidRDefault="00000000">
      <w:pPr>
        <w:spacing w:after="0"/>
        <w:ind w:left="116" w:hanging="10"/>
      </w:pPr>
      <w:r>
        <w:rPr>
          <w:rFonts w:ascii="Times New Roman" w:eastAsia="Times New Roman" w:hAnsi="Times New Roman" w:cs="Times New Roman"/>
          <w:b/>
        </w:rPr>
        <w:t xml:space="preserve">Background </w:t>
      </w:r>
    </w:p>
    <w:p w14:paraId="16CB61AC" w14:textId="77777777" w:rsidR="006C274F" w:rsidRDefault="00000000">
      <w:pPr>
        <w:spacing w:after="0"/>
        <w:ind w:left="1"/>
      </w:pPr>
      <w:r>
        <w:rPr>
          <w:rFonts w:ascii="Times New Roman" w:eastAsia="Times New Roman" w:hAnsi="Times New Roman" w:cs="Times New Roman"/>
          <w:b/>
        </w:rPr>
        <w:t xml:space="preserve"> </w:t>
      </w:r>
    </w:p>
    <w:p w14:paraId="136EC7F9" w14:textId="77777777" w:rsidR="006C274F" w:rsidRDefault="00000000">
      <w:pPr>
        <w:spacing w:after="0" w:line="237" w:lineRule="auto"/>
        <w:ind w:left="120" w:right="277"/>
        <w:jc w:val="both"/>
      </w:pPr>
      <w:r>
        <w:rPr>
          <w:rFonts w:ascii="Times New Roman" w:eastAsia="Times New Roman" w:hAnsi="Times New Roman" w:cs="Times New Roman"/>
        </w:rPr>
        <w:t xml:space="preserve">The OHIO University Curriculum Council endorsed language for the Undergraduate Catalog regarding BRICKS requirements for undergraduate degrees at their January 2020 meeting. The approved language for associate degrees reads as follows: </w:t>
      </w:r>
    </w:p>
    <w:p w14:paraId="1BFA4FAF" w14:textId="77777777" w:rsidR="006C274F" w:rsidRDefault="00000000">
      <w:pPr>
        <w:spacing w:after="0"/>
        <w:ind w:left="1"/>
      </w:pPr>
      <w:r>
        <w:rPr>
          <w:rFonts w:ascii="Times New Roman" w:eastAsia="Times New Roman" w:hAnsi="Times New Roman" w:cs="Times New Roman"/>
          <w:sz w:val="19"/>
        </w:rPr>
        <w:t xml:space="preserve"> </w:t>
      </w:r>
    </w:p>
    <w:p w14:paraId="6CCFB733" w14:textId="77777777" w:rsidR="006C274F" w:rsidRDefault="00000000">
      <w:pPr>
        <w:spacing w:after="90"/>
        <w:ind w:left="765"/>
      </w:pPr>
      <w:r>
        <w:rPr>
          <w:noProof/>
        </w:rPr>
        <w:drawing>
          <wp:inline distT="0" distB="0" distL="0" distR="0" wp14:anchorId="3EAF15EA" wp14:editId="5DE89570">
            <wp:extent cx="4799965" cy="4964414"/>
            <wp:effectExtent l="0" t="0" r="0" b="0"/>
            <wp:docPr id="141" name="Picture 141" descr="Text  Description automatically generated"/>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4"/>
                    <a:stretch>
                      <a:fillRect/>
                    </a:stretch>
                  </pic:blipFill>
                  <pic:spPr>
                    <a:xfrm>
                      <a:off x="0" y="0"/>
                      <a:ext cx="4799965" cy="4964414"/>
                    </a:xfrm>
                    <a:prstGeom prst="rect">
                      <a:avLst/>
                    </a:prstGeom>
                  </pic:spPr>
                </pic:pic>
              </a:graphicData>
            </a:graphic>
          </wp:inline>
        </w:drawing>
      </w:r>
    </w:p>
    <w:p w14:paraId="77B41C6E" w14:textId="77777777" w:rsidR="006C274F" w:rsidRDefault="00000000">
      <w:pPr>
        <w:spacing w:after="0"/>
        <w:ind w:left="1"/>
      </w:pPr>
      <w:r>
        <w:rPr>
          <w:rFonts w:ascii="Times New Roman" w:eastAsia="Times New Roman" w:hAnsi="Times New Roman" w:cs="Times New Roman"/>
          <w:sz w:val="34"/>
        </w:rPr>
        <w:t xml:space="preserve"> </w:t>
      </w:r>
    </w:p>
    <w:p w14:paraId="53B3A05F" w14:textId="77777777" w:rsidR="006C274F" w:rsidRDefault="00000000">
      <w:pPr>
        <w:spacing w:after="24" w:line="248" w:lineRule="auto"/>
        <w:ind w:left="115" w:hanging="9"/>
      </w:pPr>
      <w:r>
        <w:rPr>
          <w:rFonts w:ascii="Times New Roman" w:eastAsia="Times New Roman" w:hAnsi="Times New Roman" w:cs="Times New Roman"/>
        </w:rPr>
        <w:t xml:space="preserve">The concluding paragraph for the Applied Associate Degrees is the translation into BRICKS language of </w:t>
      </w:r>
    </w:p>
    <w:p w14:paraId="2D1C3275" w14:textId="77777777" w:rsidR="006C274F" w:rsidRDefault="00000000">
      <w:pPr>
        <w:spacing w:after="391" w:line="248" w:lineRule="auto"/>
        <w:ind w:left="115" w:hanging="9"/>
      </w:pPr>
      <w:r>
        <w:rPr>
          <w:rFonts w:ascii="Times New Roman" w:eastAsia="Times New Roman" w:hAnsi="Times New Roman" w:cs="Times New Roman"/>
        </w:rPr>
        <w:t xml:space="preserve">ODHE’s description of minimal requirements for Applied Associate Degrees. The corresponding </w:t>
      </w:r>
    </w:p>
    <w:p w14:paraId="2DC87318" w14:textId="77777777" w:rsidR="006C274F" w:rsidRDefault="00000000">
      <w:pPr>
        <w:tabs>
          <w:tab w:val="right" w:pos="9599"/>
        </w:tabs>
        <w:spacing w:after="3"/>
        <w:ind w:left="-14"/>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r>
      <w:r>
        <w:t xml:space="preserve">1 </w:t>
      </w:r>
    </w:p>
    <w:p w14:paraId="7DF42938" w14:textId="77777777" w:rsidR="006C274F" w:rsidRDefault="00000000">
      <w:pPr>
        <w:spacing w:after="24" w:line="248" w:lineRule="auto"/>
        <w:ind w:left="115" w:hanging="9"/>
      </w:pPr>
      <w:r>
        <w:rPr>
          <w:rFonts w:ascii="Times New Roman" w:eastAsia="Times New Roman" w:hAnsi="Times New Roman" w:cs="Times New Roman"/>
        </w:rPr>
        <w:t xml:space="preserve">paragraph for A.A. and A.S. degrees was left out of our language. The proposed amendment rectifies the situation. </w:t>
      </w:r>
    </w:p>
    <w:p w14:paraId="1ADE50D1" w14:textId="77777777" w:rsidR="006C274F" w:rsidRDefault="00000000">
      <w:pPr>
        <w:spacing w:after="9"/>
        <w:ind w:left="1"/>
      </w:pPr>
      <w:r>
        <w:rPr>
          <w:rFonts w:ascii="Times New Roman" w:eastAsia="Times New Roman" w:hAnsi="Times New Roman" w:cs="Times New Roman"/>
          <w:sz w:val="24"/>
        </w:rPr>
        <w:t xml:space="preserve"> </w:t>
      </w:r>
    </w:p>
    <w:p w14:paraId="5DCF24FC" w14:textId="77777777" w:rsidR="006C274F" w:rsidRDefault="00000000">
      <w:pPr>
        <w:spacing w:after="0"/>
        <w:ind w:left="1"/>
      </w:pPr>
      <w:r>
        <w:rPr>
          <w:rFonts w:ascii="Times New Roman" w:eastAsia="Times New Roman" w:hAnsi="Times New Roman" w:cs="Times New Roman"/>
          <w:sz w:val="27"/>
        </w:rPr>
        <w:t xml:space="preserve"> </w:t>
      </w:r>
    </w:p>
    <w:p w14:paraId="6ECAC730" w14:textId="77777777" w:rsidR="006C274F" w:rsidRDefault="00000000">
      <w:pPr>
        <w:spacing w:after="153"/>
        <w:ind w:left="116" w:hanging="10"/>
      </w:pPr>
      <w:r>
        <w:rPr>
          <w:rFonts w:ascii="Times New Roman" w:eastAsia="Times New Roman" w:hAnsi="Times New Roman" w:cs="Times New Roman"/>
          <w:b/>
        </w:rPr>
        <w:t xml:space="preserve">Amended Language </w:t>
      </w:r>
    </w:p>
    <w:p w14:paraId="74486F00" w14:textId="77777777" w:rsidR="006C274F" w:rsidRDefault="00000000">
      <w:pPr>
        <w:spacing w:after="24" w:line="248" w:lineRule="auto"/>
        <w:ind w:left="115" w:hanging="9"/>
      </w:pPr>
      <w:r>
        <w:rPr>
          <w:rFonts w:ascii="Times New Roman" w:eastAsia="Times New Roman" w:hAnsi="Times New Roman" w:cs="Times New Roman"/>
        </w:rPr>
        <w:t xml:space="preserve">The following language should be appended to the General Education Requirements for Associate of Arts and Associate of Science degrees in the undergraduate catalog, and the resulting change implemented by the registrar’s office: </w:t>
      </w:r>
    </w:p>
    <w:p w14:paraId="19D748DD" w14:textId="77777777" w:rsidR="006C274F" w:rsidRDefault="00000000">
      <w:pPr>
        <w:spacing w:after="21"/>
        <w:ind w:left="1"/>
      </w:pPr>
      <w:r>
        <w:rPr>
          <w:rFonts w:ascii="Times New Roman" w:eastAsia="Times New Roman" w:hAnsi="Times New Roman" w:cs="Times New Roman"/>
          <w:sz w:val="24"/>
        </w:rPr>
        <w:t xml:space="preserve"> </w:t>
      </w:r>
    </w:p>
    <w:p w14:paraId="7313157B" w14:textId="77777777" w:rsidR="006C274F" w:rsidRDefault="00000000">
      <w:pPr>
        <w:spacing w:after="0"/>
        <w:ind w:left="1"/>
      </w:pPr>
      <w:r>
        <w:rPr>
          <w:rFonts w:ascii="Times New Roman" w:eastAsia="Times New Roman" w:hAnsi="Times New Roman" w:cs="Times New Roman"/>
          <w:sz w:val="28"/>
        </w:rPr>
        <w:t xml:space="preserve"> </w:t>
      </w:r>
    </w:p>
    <w:p w14:paraId="3E2C0FA9" w14:textId="77777777" w:rsidR="006C274F" w:rsidRDefault="00000000">
      <w:pPr>
        <w:spacing w:after="3"/>
        <w:ind w:left="705" w:right="659" w:hanging="9"/>
      </w:pPr>
      <w:r>
        <w:t xml:space="preserve">To complete the minimum 36 credit hours of OTM-approved coursework, students may also complete OHIO’s OTM-approved Second Writing course (ENG 2800) and/or OHIO’s OTM-approved Oral Communication course (COMS 1030). </w:t>
      </w:r>
    </w:p>
    <w:p w14:paraId="3B61A986" w14:textId="77777777" w:rsidR="006C274F" w:rsidRDefault="00000000">
      <w:pPr>
        <w:spacing w:after="0"/>
        <w:ind w:left="696"/>
      </w:pPr>
      <w:r>
        <w:t xml:space="preserve"> </w:t>
      </w:r>
    </w:p>
    <w:p w14:paraId="2CB15F6F" w14:textId="77777777" w:rsidR="006C274F" w:rsidRDefault="00000000">
      <w:pPr>
        <w:spacing w:after="8434"/>
        <w:ind w:left="-5" w:hanging="9"/>
      </w:pPr>
      <w:r>
        <w:t>Note:  The approved catalog language (included above) incorrectly lists ENG 2820 as the approved 2</w:t>
      </w:r>
      <w:r>
        <w:rPr>
          <w:vertAlign w:val="superscript"/>
        </w:rPr>
        <w:t>nd</w:t>
      </w:r>
      <w:r>
        <w:t xml:space="preserve"> writing course, rather than ENG 2800.  The actual catalog does contain the correct course number. </w:t>
      </w:r>
    </w:p>
    <w:p w14:paraId="2BA6F26D" w14:textId="77777777" w:rsidR="006C274F" w:rsidRDefault="00000000">
      <w:pPr>
        <w:tabs>
          <w:tab w:val="right" w:pos="9599"/>
        </w:tabs>
        <w:spacing w:after="3"/>
        <w:ind w:left="-14"/>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r>
      <w:r>
        <w:t xml:space="preserve">2 </w:t>
      </w:r>
    </w:p>
    <w:sectPr w:rsidR="006C274F">
      <w:pgSz w:w="12240" w:h="15840"/>
      <w:pgMar w:top="1489" w:right="1321" w:bottom="974"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4F"/>
    <w:rsid w:val="00631478"/>
    <w:rsid w:val="006C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58141"/>
  <w15:docId w15:val="{2349D84F-3838-A043-B4AE-3E3C02B7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Eisworth, Todd</dc:creator>
  <cp:keywords/>
  <cp:lastModifiedBy>Brock, Angela</cp:lastModifiedBy>
  <cp:revision>2</cp:revision>
  <dcterms:created xsi:type="dcterms:W3CDTF">2022-10-06T18:43:00Z</dcterms:created>
  <dcterms:modified xsi:type="dcterms:W3CDTF">2022-10-06T18:43:00Z</dcterms:modified>
</cp:coreProperties>
</file>