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EEA5" w14:textId="77777777" w:rsidR="002E3CDA" w:rsidRDefault="002E3CDA" w:rsidP="002867C8">
      <w:pPr>
        <w:spacing w:after="0"/>
        <w:jc w:val="center"/>
        <w:rPr>
          <w:rFonts w:asciiTheme="minorHAnsi" w:hAnsiTheme="minorHAnsi"/>
          <w:b/>
          <w:sz w:val="22"/>
        </w:rPr>
      </w:pPr>
      <w:bookmarkStart w:id="0" w:name="_Ref476123266"/>
      <w:bookmarkStart w:id="1" w:name="_GoBack"/>
      <w:bookmarkEnd w:id="1"/>
      <w:r>
        <w:rPr>
          <w:rFonts w:asciiTheme="minorHAnsi" w:hAnsiTheme="minorHAnsi"/>
          <w:b/>
          <w:sz w:val="22"/>
        </w:rPr>
        <w:t>Resolution to affirm the possibility for differential workloads for Group I faculty</w:t>
      </w:r>
    </w:p>
    <w:p w14:paraId="11ADEEA6" w14:textId="77777777" w:rsidR="002867C8" w:rsidRDefault="002867C8" w:rsidP="002867C8">
      <w:pPr>
        <w:spacing w:after="0"/>
        <w:ind w:left="720"/>
        <w:jc w:val="center"/>
      </w:pPr>
      <w:r>
        <w:t>Professional Relations Committee</w:t>
      </w:r>
    </w:p>
    <w:p w14:paraId="11ADEEA7" w14:textId="77777777" w:rsidR="002867C8" w:rsidRDefault="002867C8" w:rsidP="002867C8">
      <w:pPr>
        <w:spacing w:after="0"/>
        <w:ind w:left="720"/>
        <w:jc w:val="center"/>
      </w:pPr>
      <w:r>
        <w:t>Faculty Senate</w:t>
      </w:r>
    </w:p>
    <w:p w14:paraId="11ADEEA8" w14:textId="77777777" w:rsidR="002867C8" w:rsidRPr="008364EE" w:rsidRDefault="00184CEF" w:rsidP="002867C8">
      <w:pPr>
        <w:spacing w:after="0"/>
        <w:ind w:left="720"/>
        <w:jc w:val="center"/>
      </w:pPr>
      <w:r>
        <w:t>May 7</w:t>
      </w:r>
      <w:r w:rsidR="002867C8">
        <w:t>, 2018—</w:t>
      </w:r>
      <w:r>
        <w:t>Second</w:t>
      </w:r>
      <w:r w:rsidR="002867C8">
        <w:t xml:space="preserve"> Reading</w:t>
      </w:r>
    </w:p>
    <w:p w14:paraId="11ADEEA9" w14:textId="77777777" w:rsidR="002867C8" w:rsidRDefault="002867C8" w:rsidP="002E3CDA">
      <w:pPr>
        <w:spacing w:after="0"/>
        <w:rPr>
          <w:rFonts w:asciiTheme="minorHAnsi" w:hAnsiTheme="minorHAnsi"/>
          <w:b/>
          <w:sz w:val="22"/>
        </w:rPr>
      </w:pPr>
    </w:p>
    <w:p w14:paraId="11ADEEAA" w14:textId="77777777" w:rsidR="002E3CDA" w:rsidRDefault="002E3CDA" w:rsidP="002E3CDA">
      <w:pPr>
        <w:spacing w:after="0"/>
        <w:rPr>
          <w:rFonts w:asciiTheme="minorHAnsi" w:hAnsiTheme="minorHAnsi"/>
          <w:b/>
          <w:sz w:val="22"/>
        </w:rPr>
      </w:pPr>
    </w:p>
    <w:p w14:paraId="11ADEEAB" w14:textId="77777777" w:rsidR="005975A9" w:rsidRPr="00B53D0B" w:rsidRDefault="005975A9" w:rsidP="00457AA4">
      <w:pPr>
        <w:rPr>
          <w:rFonts w:cs="Times New Roman"/>
          <w:i/>
          <w:szCs w:val="24"/>
        </w:rPr>
      </w:pPr>
      <w:r w:rsidRPr="00B53D0B">
        <w:rPr>
          <w:rFonts w:cs="Times New Roman"/>
          <w:b/>
          <w:i/>
          <w:szCs w:val="24"/>
        </w:rPr>
        <w:t>Whereas</w:t>
      </w:r>
      <w:r w:rsidR="00457AA4">
        <w:rPr>
          <w:rFonts w:cs="Times New Roman"/>
          <w:b/>
          <w:i/>
          <w:szCs w:val="24"/>
        </w:rPr>
        <w:t>,</w:t>
      </w:r>
      <w:r w:rsidRPr="00B53D0B">
        <w:rPr>
          <w:rFonts w:cs="Times New Roman"/>
          <w:i/>
          <w:szCs w:val="24"/>
        </w:rPr>
        <w:t xml:space="preserve"> </w:t>
      </w:r>
      <w:r w:rsidR="00457AA4">
        <w:rPr>
          <w:rFonts w:cs="Times New Roman"/>
          <w:i/>
          <w:szCs w:val="24"/>
        </w:rPr>
        <w:t>the faculty handbook is inconsistent with its language defining Group I faculty as compared to other faculty classifications,</w:t>
      </w:r>
    </w:p>
    <w:p w14:paraId="11ADEEAC" w14:textId="77777777" w:rsidR="005975A9" w:rsidRPr="00B53D0B" w:rsidRDefault="005975A9" w:rsidP="002E3CDA">
      <w:pPr>
        <w:spacing w:after="0"/>
        <w:rPr>
          <w:rFonts w:cs="Times New Roman"/>
          <w:b/>
          <w:i/>
          <w:szCs w:val="24"/>
        </w:rPr>
      </w:pPr>
    </w:p>
    <w:p w14:paraId="11ADEEAD" w14:textId="77777777" w:rsidR="002E3CDA" w:rsidRPr="00B53D0B" w:rsidRDefault="005975A9" w:rsidP="005975A9">
      <w:pPr>
        <w:pStyle w:val="ListParagraph"/>
        <w:spacing w:after="0"/>
        <w:ind w:left="0"/>
        <w:rPr>
          <w:rFonts w:cs="Times New Roman"/>
          <w:i/>
          <w:szCs w:val="24"/>
        </w:rPr>
      </w:pPr>
      <w:r w:rsidRPr="00B53D0B">
        <w:rPr>
          <w:rFonts w:cs="Times New Roman"/>
          <w:b/>
          <w:i/>
          <w:szCs w:val="24"/>
        </w:rPr>
        <w:t>Be it resolved</w:t>
      </w:r>
      <w:r w:rsidRPr="00B53D0B">
        <w:rPr>
          <w:rFonts w:cs="Times New Roman"/>
          <w:i/>
          <w:szCs w:val="24"/>
        </w:rPr>
        <w:t xml:space="preserve"> that the language of the Faculty Handbook be revised to include the following</w:t>
      </w:r>
    </w:p>
    <w:p w14:paraId="11ADEEAE" w14:textId="77777777" w:rsidR="005975A9" w:rsidRPr="00B53D0B" w:rsidRDefault="005975A9" w:rsidP="005975A9">
      <w:pPr>
        <w:pStyle w:val="ListParagraph"/>
        <w:spacing w:after="0"/>
        <w:ind w:left="0"/>
        <w:rPr>
          <w:rFonts w:cs="Times New Roman"/>
          <w:i/>
          <w:szCs w:val="24"/>
        </w:rPr>
      </w:pPr>
    </w:p>
    <w:p w14:paraId="11ADEEAF" w14:textId="77777777" w:rsidR="005975A9" w:rsidRDefault="005975A9" w:rsidP="005975A9">
      <w:pPr>
        <w:pStyle w:val="ListParagraph"/>
        <w:spacing w:after="0"/>
        <w:ind w:left="0"/>
        <w:rPr>
          <w:rFonts w:asciiTheme="minorHAnsi" w:hAnsiTheme="minorHAnsi"/>
          <w:b/>
          <w:sz w:val="22"/>
        </w:rPr>
      </w:pPr>
    </w:p>
    <w:p w14:paraId="11ADEEB0" w14:textId="77777777" w:rsidR="002E3CDA" w:rsidRPr="002E3CDA" w:rsidRDefault="005D4767" w:rsidP="00B53D0B">
      <w:pPr>
        <w:pStyle w:val="ListParagraph"/>
        <w:spacing w:after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II.C.3. </w:t>
      </w:r>
      <w:r w:rsidR="002E3CDA" w:rsidRPr="002E3CDA">
        <w:rPr>
          <w:rFonts w:asciiTheme="minorHAnsi" w:hAnsiTheme="minorHAnsi"/>
          <w:b/>
          <w:sz w:val="22"/>
        </w:rPr>
        <w:t>Classification of Faculty</w:t>
      </w:r>
      <w:bookmarkEnd w:id="0"/>
    </w:p>
    <w:p w14:paraId="11ADEEB1" w14:textId="77777777" w:rsidR="002E3CDA" w:rsidRPr="002E3CDA" w:rsidRDefault="002E3CDA" w:rsidP="002E3CDA">
      <w:pPr>
        <w:spacing w:after="0"/>
        <w:rPr>
          <w:rFonts w:asciiTheme="minorHAnsi" w:hAnsiTheme="minorHAnsi"/>
          <w:sz w:val="22"/>
        </w:rPr>
      </w:pPr>
    </w:p>
    <w:p w14:paraId="11ADEEB2" w14:textId="77777777" w:rsidR="00381D96" w:rsidRPr="008D20EA" w:rsidRDefault="002E3CDA" w:rsidP="005E44D6">
      <w:pPr>
        <w:pStyle w:val="ListParagraph"/>
        <w:numPr>
          <w:ilvl w:val="3"/>
          <w:numId w:val="1"/>
        </w:numPr>
        <w:spacing w:after="0"/>
        <w:rPr>
          <w:rFonts w:asciiTheme="minorHAnsi" w:hAnsiTheme="minorHAnsi"/>
          <w:sz w:val="22"/>
          <w:highlight w:val="lightGray"/>
        </w:rPr>
      </w:pPr>
      <w:r w:rsidRPr="00547CCB">
        <w:rPr>
          <w:rFonts w:asciiTheme="minorHAnsi" w:hAnsiTheme="minorHAnsi"/>
          <w:sz w:val="22"/>
        </w:rPr>
        <w:t xml:space="preserve">Group I consists of persons </w:t>
      </w:r>
      <w:r w:rsidR="006A2E3B">
        <w:rPr>
          <w:rFonts w:asciiTheme="minorHAnsi" w:hAnsiTheme="minorHAnsi"/>
          <w:sz w:val="22"/>
        </w:rPr>
        <w:t xml:space="preserve">with appropriate credentials, </w:t>
      </w:r>
      <w:r w:rsidRPr="008D20EA">
        <w:rPr>
          <w:rFonts w:asciiTheme="minorHAnsi" w:hAnsiTheme="minorHAnsi"/>
          <w:sz w:val="22"/>
          <w:highlight w:val="lightGray"/>
        </w:rPr>
        <w:t>on full-time or part-time appointments</w:t>
      </w:r>
      <w:r w:rsidR="006A2E3B" w:rsidRPr="008D20EA">
        <w:rPr>
          <w:rFonts w:asciiTheme="minorHAnsi" w:hAnsiTheme="minorHAnsi"/>
          <w:sz w:val="22"/>
          <w:highlight w:val="lightGray"/>
        </w:rPr>
        <w:t>,</w:t>
      </w:r>
      <w:r w:rsidRPr="008D20EA">
        <w:rPr>
          <w:rFonts w:asciiTheme="minorHAnsi" w:hAnsiTheme="minorHAnsi"/>
          <w:sz w:val="22"/>
          <w:highlight w:val="lightGray"/>
        </w:rPr>
        <w:t xml:space="preserve"> specifically designated </w:t>
      </w:r>
      <w:r w:rsidRPr="008D20EA">
        <w:rPr>
          <w:rFonts w:asciiTheme="minorHAnsi" w:hAnsiTheme="minorHAnsi"/>
          <w:sz w:val="22"/>
        </w:rPr>
        <w:t xml:space="preserve">as </w:t>
      </w:r>
      <w:r w:rsidR="005D4767" w:rsidRPr="008D20EA">
        <w:rPr>
          <w:rFonts w:asciiTheme="minorHAnsi" w:hAnsiTheme="minorHAnsi"/>
          <w:sz w:val="22"/>
        </w:rPr>
        <w:t>tenure track</w:t>
      </w:r>
      <w:r w:rsidRPr="008D20EA">
        <w:rPr>
          <w:rFonts w:asciiTheme="minorHAnsi" w:hAnsiTheme="minorHAnsi"/>
          <w:sz w:val="22"/>
        </w:rPr>
        <w:t xml:space="preserve"> </w:t>
      </w:r>
      <w:r w:rsidRPr="008D20EA">
        <w:rPr>
          <w:rFonts w:asciiTheme="minorHAnsi" w:hAnsiTheme="minorHAnsi"/>
          <w:sz w:val="22"/>
          <w:highlight w:val="lightGray"/>
        </w:rPr>
        <w:t xml:space="preserve">faculty who, except when on unpaid leave granted at their request, are employed in at least two semesters of a fiscal year and who are so employed from the date of receiving an appointment in the Group I category until that appointment terminates. A person may not change to </w:t>
      </w:r>
      <w:r w:rsidR="008D20EA" w:rsidRPr="008D20EA">
        <w:rPr>
          <w:rFonts w:asciiTheme="minorHAnsi" w:hAnsiTheme="minorHAnsi"/>
          <w:sz w:val="22"/>
          <w:highlight w:val="lightGray"/>
        </w:rPr>
        <w:t>Group II or III or IV</w:t>
      </w:r>
      <w:r w:rsidRPr="008D20EA">
        <w:rPr>
          <w:rFonts w:asciiTheme="minorHAnsi" w:hAnsiTheme="minorHAnsi"/>
          <w:sz w:val="22"/>
          <w:highlight w:val="lightGray"/>
        </w:rPr>
        <w:t xml:space="preserve"> categories once the initial appointment in Group I is made. Faculty shall be classified with respect to the campus where their teaching duties are principally performed.</w:t>
      </w:r>
    </w:p>
    <w:p w14:paraId="11ADEEB3" w14:textId="77777777" w:rsidR="00381D96" w:rsidRDefault="00381D96" w:rsidP="005E44D6">
      <w:pPr>
        <w:pStyle w:val="ListParagraph"/>
        <w:spacing w:after="0"/>
        <w:ind w:left="1350"/>
        <w:rPr>
          <w:rFonts w:asciiTheme="minorHAnsi" w:hAnsiTheme="minorHAnsi"/>
          <w:sz w:val="22"/>
        </w:rPr>
      </w:pPr>
    </w:p>
    <w:p w14:paraId="11ADEEB4" w14:textId="77777777" w:rsidR="005E44D6" w:rsidRDefault="00381D96" w:rsidP="005E44D6">
      <w:pPr>
        <w:pStyle w:val="ListParagraph"/>
        <w:spacing w:after="0"/>
        <w:ind w:left="1350"/>
      </w:pPr>
      <w:r>
        <w:t>Group I faculty</w:t>
      </w:r>
      <w:r w:rsidRPr="00547CCB">
        <w:t xml:space="preserve"> </w:t>
      </w:r>
      <w:r w:rsidR="005E44D6">
        <w:t>may</w:t>
      </w:r>
      <w:r>
        <w:t xml:space="preserve"> be hired on variable workload distribution</w:t>
      </w:r>
      <w:r w:rsidR="006A2E3B">
        <w:t>s</w:t>
      </w:r>
      <w:r>
        <w:t xml:space="preserve"> as appropriate to meet the needs of the department/school, but all should</w:t>
      </w:r>
      <w:r w:rsidRPr="00547CCB">
        <w:t xml:space="preserve"> </w:t>
      </w:r>
      <w:r>
        <w:t>contribute to the teaching, research and service missions of the university.</w:t>
      </w:r>
      <w:r w:rsidRPr="00547CCB">
        <w:t xml:space="preserve"> </w:t>
      </w:r>
      <w:r>
        <w:t xml:space="preserve"> </w:t>
      </w:r>
      <w:r w:rsidR="00457AA4">
        <w:t>The</w:t>
      </w:r>
      <w:r>
        <w:t xml:space="preserve"> distribution for a position should be determined by the department or school</w:t>
      </w:r>
      <w:r w:rsidR="005E44D6">
        <w:t>,</w:t>
      </w:r>
      <w:r w:rsidR="005E44D6" w:rsidRPr="005E44D6">
        <w:t xml:space="preserve"> </w:t>
      </w:r>
      <w:r w:rsidR="005E44D6" w:rsidRPr="00547CCB">
        <w:t>as appropriate for the academic unit</w:t>
      </w:r>
      <w:r w:rsidR="005E44D6">
        <w:t>,</w:t>
      </w:r>
      <w:r>
        <w:t xml:space="preserve"> and </w:t>
      </w:r>
      <w:r w:rsidR="005E44D6">
        <w:t xml:space="preserve">negotiated </w:t>
      </w:r>
      <w:r w:rsidRPr="00547CCB">
        <w:t xml:space="preserve">with </w:t>
      </w:r>
      <w:r>
        <w:t xml:space="preserve">the head of the planning unit </w:t>
      </w:r>
      <w:r w:rsidRPr="00547CCB">
        <w:t xml:space="preserve">at the time of </w:t>
      </w:r>
      <w:r w:rsidR="00B53D0B">
        <w:t>position request</w:t>
      </w:r>
      <w:r w:rsidRPr="00547CCB">
        <w:t>.</w:t>
      </w:r>
      <w:r>
        <w:t xml:space="preserve"> </w:t>
      </w:r>
      <w:r w:rsidR="00184CEF">
        <w:t>When possible and appropriate, the workload for each Group I</w:t>
      </w:r>
      <w:r w:rsidR="00184CEF" w:rsidRPr="00547CCB">
        <w:t xml:space="preserve"> </w:t>
      </w:r>
      <w:r w:rsidR="00184CEF">
        <w:t>position</w:t>
      </w:r>
      <w:r w:rsidR="00184CEF" w:rsidRPr="00547CCB">
        <w:t xml:space="preserve"> </w:t>
      </w:r>
      <w:r w:rsidR="00184CEF">
        <w:t>shall be clearly indicated at the time of posting.</w:t>
      </w:r>
    </w:p>
    <w:p w14:paraId="11ADEEB5" w14:textId="77777777" w:rsidR="005E44D6" w:rsidRDefault="005E44D6" w:rsidP="005E44D6">
      <w:pPr>
        <w:pStyle w:val="ListParagraph"/>
        <w:spacing w:after="0"/>
        <w:ind w:left="1350"/>
      </w:pPr>
    </w:p>
    <w:p w14:paraId="11ADEEB6" w14:textId="77777777" w:rsidR="00381D96" w:rsidRDefault="00381D96" w:rsidP="005E44D6">
      <w:pPr>
        <w:pStyle w:val="ListParagraph"/>
        <w:spacing w:after="0"/>
        <w:ind w:left="1350"/>
      </w:pPr>
      <w:r>
        <w:t>Faculty members in Group I</w:t>
      </w:r>
      <w:r w:rsidRPr="00547CCB">
        <w:t xml:space="preserve"> are expected to perform those faculty activities agreed </w:t>
      </w:r>
      <w:r w:rsidR="005E44D6">
        <w:t>to</w:t>
      </w:r>
      <w:r w:rsidRPr="00547CCB">
        <w:t xml:space="preserve"> at the time of hire and/or reappointment and shall enjoy th</w:t>
      </w:r>
      <w:r>
        <w:t>e following rights and benefits:</w:t>
      </w:r>
    </w:p>
    <w:p w14:paraId="11ADEEB7" w14:textId="77777777" w:rsidR="00381D96" w:rsidRDefault="00381D96" w:rsidP="005E44D6">
      <w:pPr>
        <w:pStyle w:val="ListParagraph"/>
        <w:spacing w:after="0"/>
        <w:ind w:left="1350"/>
      </w:pPr>
    </w:p>
    <w:p w14:paraId="11ADEEB8" w14:textId="77777777" w:rsidR="00381D96" w:rsidRPr="005E44D6" w:rsidRDefault="00381D96" w:rsidP="005E44D6">
      <w:pPr>
        <w:pStyle w:val="ListParagraph"/>
        <w:numPr>
          <w:ilvl w:val="4"/>
          <w:numId w:val="5"/>
        </w:numPr>
        <w:spacing w:after="0"/>
        <w:rPr>
          <w:rFonts w:asciiTheme="minorHAnsi" w:hAnsiTheme="minorHAnsi"/>
          <w:sz w:val="22"/>
        </w:rPr>
      </w:pPr>
      <w:r w:rsidRPr="00547CCB">
        <w:t xml:space="preserve">The letter of </w:t>
      </w:r>
      <w:r w:rsidR="00B53D0B">
        <w:t>appointment</w:t>
      </w:r>
      <w:r w:rsidRPr="00547CCB">
        <w:t xml:space="preserve"> will contain the </w:t>
      </w:r>
      <w:r w:rsidR="00A97D14">
        <w:t>initial</w:t>
      </w:r>
      <w:r w:rsidRPr="00547CCB">
        <w:t xml:space="preserve"> workload percentages for teaching</w:t>
      </w:r>
      <w:r>
        <w:t>, research</w:t>
      </w:r>
      <w:r w:rsidRPr="00547CCB">
        <w:t xml:space="preserve"> and</w:t>
      </w:r>
      <w:r>
        <w:t xml:space="preserve"> service as negotiated for the position (II.A.1.b)</w:t>
      </w:r>
      <w:r w:rsidR="00B53D0B">
        <w:t xml:space="preserve"> and include the promotion and tenure guidelines as appropriate for the position (II.A.2.c)</w:t>
      </w:r>
      <w:r w:rsidRPr="00547CCB">
        <w:t xml:space="preserve">. </w:t>
      </w:r>
    </w:p>
    <w:p w14:paraId="11ADEEB9" w14:textId="77777777" w:rsidR="00381D96" w:rsidRPr="00547CCB" w:rsidRDefault="00381D96" w:rsidP="00381D96">
      <w:pPr>
        <w:pStyle w:val="ListParagraph"/>
        <w:spacing w:after="0"/>
        <w:ind w:left="1800"/>
      </w:pPr>
    </w:p>
    <w:p w14:paraId="11ADEEBA" w14:textId="77777777" w:rsidR="00381D96" w:rsidRDefault="00381D96" w:rsidP="005E44D6">
      <w:pPr>
        <w:pStyle w:val="ListParagraph"/>
        <w:numPr>
          <w:ilvl w:val="4"/>
          <w:numId w:val="5"/>
        </w:numPr>
        <w:spacing w:after="0"/>
      </w:pPr>
      <w:r w:rsidRPr="00547CCB">
        <w:t>Salaries will be negotiated at the time of hire, taking into account factors such as qualifications, years of experience, rank a</w:t>
      </w:r>
      <w:r>
        <w:t>nd salaries of existing Group I</w:t>
      </w:r>
      <w:r w:rsidRPr="00547CCB">
        <w:t xml:space="preserve"> faculty with similar workload assignments in the given department or on the given regional campus. </w:t>
      </w:r>
    </w:p>
    <w:p w14:paraId="11ADEEBB" w14:textId="77777777" w:rsidR="00381D96" w:rsidRPr="00547CCB" w:rsidRDefault="00381D96" w:rsidP="00381D96">
      <w:pPr>
        <w:spacing w:after="0"/>
        <w:ind w:left="1800"/>
      </w:pPr>
    </w:p>
    <w:p w14:paraId="11ADEEBC" w14:textId="77777777" w:rsidR="00381D96" w:rsidRDefault="00381D96" w:rsidP="005E44D6">
      <w:pPr>
        <w:pStyle w:val="ListParagraph"/>
        <w:numPr>
          <w:ilvl w:val="4"/>
          <w:numId w:val="5"/>
        </w:numPr>
        <w:spacing w:after="0"/>
      </w:pPr>
      <w:r w:rsidRPr="00547CCB">
        <w:lastRenderedPageBreak/>
        <w:t>Norm</w:t>
      </w:r>
      <w:r>
        <w:t>ally, the contracts for Group I</w:t>
      </w:r>
      <w:r w:rsidRPr="00547CCB">
        <w:t xml:space="preserve"> will be a nine month, renewable contract for a term of one-year </w:t>
      </w:r>
      <w:r w:rsidR="00B53D0B">
        <w:t>during the probationary period</w:t>
      </w:r>
      <w:r w:rsidR="006A2E3B">
        <w:t>,</w:t>
      </w:r>
      <w:r w:rsidR="00B53D0B">
        <w:t xml:space="preserve"> </w:t>
      </w:r>
      <w:r w:rsidR="00257773">
        <w:t>with</w:t>
      </w:r>
      <w:r w:rsidR="00B53D0B">
        <w:t xml:space="preserve"> the latest date for tenure review indicated in the letter of appointment (II.A.1).</w:t>
      </w:r>
      <w:r>
        <w:t xml:space="preserve"> </w:t>
      </w:r>
    </w:p>
    <w:p w14:paraId="11ADEEBD" w14:textId="77777777" w:rsidR="00381D96" w:rsidRPr="00547CCB" w:rsidRDefault="00381D96" w:rsidP="00381D96">
      <w:pPr>
        <w:spacing w:after="0"/>
        <w:ind w:left="1800"/>
      </w:pPr>
    </w:p>
    <w:p w14:paraId="11ADEEBE" w14:textId="77777777" w:rsidR="00381D96" w:rsidRPr="008A4B05" w:rsidRDefault="00381D96" w:rsidP="005E44D6">
      <w:pPr>
        <w:pStyle w:val="ListParagraph"/>
        <w:numPr>
          <w:ilvl w:val="4"/>
          <w:numId w:val="5"/>
        </w:numPr>
        <w:spacing w:after="0"/>
      </w:pPr>
      <w:r>
        <w:t>Group I</w:t>
      </w:r>
      <w:r w:rsidRPr="00547CCB">
        <w:t xml:space="preserve"> f</w:t>
      </w:r>
      <w:r>
        <w:t xml:space="preserve">aculty are categorized into three ranks: </w:t>
      </w:r>
      <w:r w:rsidRPr="00547CCB">
        <w:t xml:space="preserve">Assistant Professor; Associate Professor </w:t>
      </w:r>
      <w:r>
        <w:t xml:space="preserve">or Professor. </w:t>
      </w:r>
      <w:r w:rsidR="00257773">
        <w:rPr>
          <w:rFonts w:eastAsia="Times New Roman"/>
        </w:rPr>
        <w:t>Initial r</w:t>
      </w:r>
      <w:r w:rsidR="006A2E3B">
        <w:rPr>
          <w:rFonts w:eastAsia="Times New Roman"/>
        </w:rPr>
        <w:t xml:space="preserve">ank will be determined at the time of hire </w:t>
      </w:r>
      <w:r w:rsidR="008D20EA">
        <w:rPr>
          <w:rFonts w:eastAsia="Times New Roman"/>
        </w:rPr>
        <w:t>based</w:t>
      </w:r>
      <w:r w:rsidR="006A2E3B">
        <w:rPr>
          <w:rFonts w:eastAsia="Times New Roman"/>
        </w:rPr>
        <w:t xml:space="preserve"> on qualifications, departmental norms, and other factors as appropriate</w:t>
      </w:r>
      <w:r w:rsidRPr="00547CCB">
        <w:t xml:space="preserve">. </w:t>
      </w:r>
    </w:p>
    <w:p w14:paraId="11ADEEBF" w14:textId="77777777" w:rsidR="00381D96" w:rsidRPr="00171E80" w:rsidRDefault="00381D96" w:rsidP="00381D96">
      <w:pPr>
        <w:pStyle w:val="ListParagraph"/>
        <w:spacing w:after="0"/>
        <w:ind w:left="2160"/>
        <w:rPr>
          <w:rFonts w:asciiTheme="minorHAnsi" w:hAnsiTheme="minorHAnsi"/>
          <w:sz w:val="22"/>
        </w:rPr>
      </w:pPr>
    </w:p>
    <w:p w14:paraId="11ADEEC0" w14:textId="77777777" w:rsidR="0045052D" w:rsidRDefault="0045052D"/>
    <w:sectPr w:rsidR="0045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28A"/>
    <w:multiLevelType w:val="hybridMultilevel"/>
    <w:tmpl w:val="6BDAE892"/>
    <w:lvl w:ilvl="0" w:tplc="DCD6A6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C53AE"/>
    <w:multiLevelType w:val="multilevel"/>
    <w:tmpl w:val="72C67210"/>
    <w:styleLink w:val="Handbook"/>
    <w:lvl w:ilvl="0">
      <w:start w:val="1"/>
      <w:numFmt w:val="none"/>
      <w:lvlText w:val="I."/>
      <w:lvlJc w:val="left"/>
      <w:pPr>
        <w:ind w:left="-32767" w:firstLine="32767"/>
      </w:pPr>
      <w:rPr>
        <w:rFonts w:ascii="Times New Roman" w:hAnsi="Times New Roman" w:hint="default"/>
        <w:b/>
        <w:sz w:val="24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a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4B4330A"/>
    <w:multiLevelType w:val="multilevel"/>
    <w:tmpl w:val="F0AC9F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35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Calibri" w:hAnsi="Calibri" w:hint="default"/>
        <w:b/>
        <w:i w:val="0"/>
        <w:sz w:val="22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  <w:b/>
        <w:i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b/>
        <w:i/>
      </w:rPr>
    </w:lvl>
  </w:abstractNum>
  <w:abstractNum w:abstractNumId="3" w15:restartNumberingAfterBreak="0">
    <w:nsid w:val="5C310981"/>
    <w:multiLevelType w:val="multilevel"/>
    <w:tmpl w:val="F0AC9F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35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Calibri" w:hAnsi="Calibri" w:hint="default"/>
        <w:b/>
        <w:i w:val="0"/>
        <w:sz w:val="22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  <w:b/>
        <w:i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b/>
        <w:i/>
      </w:rPr>
    </w:lvl>
  </w:abstractNum>
  <w:abstractNum w:abstractNumId="4" w15:restartNumberingAfterBreak="0">
    <w:nsid w:val="760E40E6"/>
    <w:multiLevelType w:val="multilevel"/>
    <w:tmpl w:val="0EE6F7C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  <w:b/>
        <w:i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Calibri" w:hAnsi="Calibri" w:hint="default"/>
        <w:b/>
        <w:i w:val="0"/>
        <w:sz w:val="22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  <w:b/>
        <w:i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b/>
        <w:i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DA"/>
    <w:rsid w:val="00184CEF"/>
    <w:rsid w:val="00257773"/>
    <w:rsid w:val="002867C8"/>
    <w:rsid w:val="002E3CDA"/>
    <w:rsid w:val="00381D96"/>
    <w:rsid w:val="003C1D3B"/>
    <w:rsid w:val="00446C16"/>
    <w:rsid w:val="0045052D"/>
    <w:rsid w:val="00457AA4"/>
    <w:rsid w:val="005975A9"/>
    <w:rsid w:val="005D4767"/>
    <w:rsid w:val="005E44D6"/>
    <w:rsid w:val="006A2E3B"/>
    <w:rsid w:val="008A4B05"/>
    <w:rsid w:val="008B6860"/>
    <w:rsid w:val="008D20EA"/>
    <w:rsid w:val="00A97D14"/>
    <w:rsid w:val="00B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EEA5"/>
  <w15:chartTrackingRefBased/>
  <w15:docId w15:val="{7CF9F715-EE3D-4B5D-873E-B19C4D29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CDA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6C16"/>
    <w:pPr>
      <w:spacing w:after="0" w:line="240" w:lineRule="auto"/>
    </w:pPr>
    <w:rPr>
      <w:rFonts w:eastAsiaTheme="minorEastAsia"/>
    </w:rPr>
  </w:style>
  <w:style w:type="numbering" w:customStyle="1" w:styleId="Handbook">
    <w:name w:val="Handbook"/>
    <w:uiPriority w:val="99"/>
    <w:rsid w:val="00446C1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dcbbca86e4d2c314f56cc14fe52c673e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ebe74d538b51edaa450f594976be42d8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9AE5B-08B3-48DD-8DCD-31A2329FC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5CD4A-AB74-4162-8132-AB980881C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9290A7-29EF-4F7F-B49E-CA381B5D8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Sarah</dc:creator>
  <cp:keywords/>
  <dc:description/>
  <cp:lastModifiedBy>Brock, Angela</cp:lastModifiedBy>
  <cp:revision>2</cp:revision>
  <cp:lastPrinted>2018-03-27T12:34:00Z</cp:lastPrinted>
  <dcterms:created xsi:type="dcterms:W3CDTF">2019-06-17T17:54:00Z</dcterms:created>
  <dcterms:modified xsi:type="dcterms:W3CDTF">2019-06-17T17:54:00Z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