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EB5E" w14:textId="77777777" w:rsidR="00A04719" w:rsidRPr="00CE1403" w:rsidRDefault="00A04719" w:rsidP="00774BAC">
      <w:pPr>
        <w:jc w:val="center"/>
        <w:rPr>
          <w:b/>
          <w:sz w:val="24"/>
          <w:szCs w:val="24"/>
        </w:rPr>
      </w:pPr>
    </w:p>
    <w:p w14:paraId="4861013F" w14:textId="77777777" w:rsidR="005361A6" w:rsidRDefault="00774BAC" w:rsidP="00774BAC">
      <w:pPr>
        <w:jc w:val="center"/>
        <w:rPr>
          <w:b/>
          <w:sz w:val="24"/>
          <w:szCs w:val="24"/>
        </w:rPr>
      </w:pPr>
      <w:r w:rsidRPr="00CE1403">
        <w:rPr>
          <w:b/>
          <w:sz w:val="24"/>
          <w:szCs w:val="24"/>
        </w:rPr>
        <w:t xml:space="preserve">Sense-of-the-Senate </w:t>
      </w:r>
      <w:r w:rsidRPr="004F74AA">
        <w:rPr>
          <w:b/>
          <w:sz w:val="24"/>
          <w:szCs w:val="24"/>
        </w:rPr>
        <w:t xml:space="preserve">Resolution on </w:t>
      </w:r>
    </w:p>
    <w:p w14:paraId="5D6E1FF5" w14:textId="3125E743" w:rsidR="00774BAC" w:rsidRPr="005361A6" w:rsidRDefault="006B6B1C" w:rsidP="00774BAC">
      <w:pPr>
        <w:jc w:val="center"/>
        <w:rPr>
          <w:b/>
          <w:sz w:val="24"/>
          <w:szCs w:val="24"/>
        </w:rPr>
      </w:pPr>
      <w:r w:rsidRPr="00F14DB3">
        <w:rPr>
          <w:b/>
          <w:sz w:val="24"/>
          <w:szCs w:val="24"/>
        </w:rPr>
        <w:t>Erosion of Tenure</w:t>
      </w:r>
      <w:r>
        <w:rPr>
          <w:b/>
          <w:sz w:val="24"/>
          <w:szCs w:val="24"/>
        </w:rPr>
        <w:t xml:space="preserve"> </w:t>
      </w:r>
      <w:r w:rsidR="006B430E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="004F74AA" w:rsidRPr="005361A6">
        <w:rPr>
          <w:b/>
          <w:sz w:val="24"/>
          <w:szCs w:val="24"/>
        </w:rPr>
        <w:t>Faculty Positions/Workloads during Budgetary Restrictions</w:t>
      </w:r>
    </w:p>
    <w:p w14:paraId="2869CD0E" w14:textId="591E451A" w:rsidR="006B430E" w:rsidRDefault="00774BAC" w:rsidP="00774BAC">
      <w:pPr>
        <w:jc w:val="center"/>
        <w:rPr>
          <w:b/>
          <w:sz w:val="24"/>
          <w:szCs w:val="24"/>
        </w:rPr>
      </w:pPr>
      <w:r w:rsidRPr="005361A6">
        <w:rPr>
          <w:b/>
          <w:sz w:val="24"/>
          <w:szCs w:val="24"/>
        </w:rPr>
        <w:t xml:space="preserve">Promotion </w:t>
      </w:r>
      <w:r w:rsidR="006B430E">
        <w:rPr>
          <w:b/>
          <w:sz w:val="24"/>
          <w:szCs w:val="24"/>
        </w:rPr>
        <w:t>&amp;</w:t>
      </w:r>
      <w:r w:rsidRPr="005361A6">
        <w:rPr>
          <w:b/>
          <w:sz w:val="24"/>
          <w:szCs w:val="24"/>
        </w:rPr>
        <w:t xml:space="preserve"> Tenure </w:t>
      </w:r>
      <w:r w:rsidR="006B430E">
        <w:rPr>
          <w:b/>
          <w:sz w:val="24"/>
          <w:szCs w:val="24"/>
        </w:rPr>
        <w:t>and</w:t>
      </w:r>
      <w:r w:rsidRPr="005361A6">
        <w:rPr>
          <w:b/>
          <w:sz w:val="24"/>
          <w:szCs w:val="24"/>
        </w:rPr>
        <w:t xml:space="preserve"> Professional Relations Committees</w:t>
      </w:r>
    </w:p>
    <w:p w14:paraId="22B98231" w14:textId="0EE413E6" w:rsidR="00774BAC" w:rsidRDefault="00EF3C78" w:rsidP="00774BA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Approved - </w:t>
      </w:r>
      <w:r w:rsidR="006D4683">
        <w:rPr>
          <w:b/>
          <w:sz w:val="24"/>
          <w:szCs w:val="24"/>
        </w:rPr>
        <w:t>May 6</w:t>
      </w:r>
      <w:r w:rsidR="0065504C">
        <w:rPr>
          <w:b/>
          <w:sz w:val="24"/>
          <w:szCs w:val="24"/>
        </w:rPr>
        <w:t>, 2019</w:t>
      </w:r>
    </w:p>
    <w:p w14:paraId="2D9173D2" w14:textId="77777777" w:rsidR="00774BAC" w:rsidRPr="00CE1403" w:rsidRDefault="00774BAC" w:rsidP="00774BAC">
      <w:pPr>
        <w:rPr>
          <w:sz w:val="24"/>
          <w:szCs w:val="24"/>
        </w:rPr>
      </w:pPr>
    </w:p>
    <w:p w14:paraId="411F6524" w14:textId="54804E3D" w:rsidR="00F20259" w:rsidRPr="00CE1403" w:rsidRDefault="00F20259" w:rsidP="00F20259">
      <w:pPr>
        <w:outlineLvl w:val="0"/>
        <w:rPr>
          <w:sz w:val="24"/>
          <w:szCs w:val="24"/>
        </w:rPr>
      </w:pPr>
      <w:r w:rsidRPr="00CE1403">
        <w:rPr>
          <w:b/>
          <w:sz w:val="24"/>
          <w:szCs w:val="24"/>
        </w:rPr>
        <w:t>Whereas</w:t>
      </w:r>
      <w:r w:rsidRPr="00CE1403">
        <w:rPr>
          <w:sz w:val="24"/>
          <w:szCs w:val="24"/>
        </w:rPr>
        <w:t xml:space="preserve"> budget constraints on </w:t>
      </w:r>
      <w:r>
        <w:rPr>
          <w:sz w:val="24"/>
          <w:szCs w:val="24"/>
        </w:rPr>
        <w:t>Ohio University</w:t>
      </w:r>
      <w:r w:rsidRPr="00CE1403">
        <w:rPr>
          <w:rFonts w:ascii="Calibri" w:eastAsiaTheme="minorHAnsi" w:hAnsi="Calibri" w:cs="Calibri"/>
          <w:sz w:val="24"/>
          <w:szCs w:val="24"/>
        </w:rPr>
        <w:t xml:space="preserve"> </w:t>
      </w:r>
      <w:r w:rsidR="00482779" w:rsidRPr="007D63C2">
        <w:rPr>
          <w:sz w:val="24"/>
          <w:szCs w:val="24"/>
        </w:rPr>
        <w:t>are</w:t>
      </w:r>
      <w:r w:rsidR="00286DB0" w:rsidRPr="007D63C2">
        <w:rPr>
          <w:sz w:val="24"/>
          <w:szCs w:val="24"/>
        </w:rPr>
        <w:t xml:space="preserve"> accelerating</w:t>
      </w:r>
      <w:r w:rsidR="00286DB0" w:rsidRPr="00482779">
        <w:rPr>
          <w:sz w:val="24"/>
          <w:szCs w:val="24"/>
        </w:rPr>
        <w:t xml:space="preserve"> the</w:t>
      </w:r>
      <w:r w:rsidRPr="00CE1403">
        <w:rPr>
          <w:sz w:val="24"/>
          <w:szCs w:val="24"/>
        </w:rPr>
        <w:t xml:space="preserve"> erosion of tenure at Ohio University through </w:t>
      </w:r>
      <w:r>
        <w:rPr>
          <w:sz w:val="24"/>
          <w:szCs w:val="24"/>
        </w:rPr>
        <w:t>attrition of tenure track faculty, and a resulting increase in the</w:t>
      </w:r>
      <w:r w:rsidRPr="00CE1403">
        <w:rPr>
          <w:sz w:val="24"/>
          <w:szCs w:val="24"/>
        </w:rPr>
        <w:t xml:space="preserve"> </w:t>
      </w:r>
      <w:r>
        <w:rPr>
          <w:sz w:val="24"/>
          <w:szCs w:val="24"/>
        </w:rPr>
        <w:t>ratio</w:t>
      </w:r>
      <w:r w:rsidRPr="00CE1403">
        <w:rPr>
          <w:sz w:val="24"/>
          <w:szCs w:val="24"/>
        </w:rPr>
        <w:t xml:space="preserve"> of non-tenure track </w:t>
      </w:r>
      <w:r>
        <w:rPr>
          <w:sz w:val="24"/>
          <w:szCs w:val="24"/>
        </w:rPr>
        <w:t xml:space="preserve">to tenure track </w:t>
      </w:r>
      <w:r w:rsidRPr="00CE1403">
        <w:rPr>
          <w:sz w:val="24"/>
          <w:szCs w:val="24"/>
        </w:rPr>
        <w:t>lines;</w:t>
      </w:r>
    </w:p>
    <w:p w14:paraId="1AA26B16" w14:textId="77777777" w:rsidR="000138B2" w:rsidRPr="000138B2" w:rsidRDefault="000138B2" w:rsidP="00774BAC">
      <w:pPr>
        <w:rPr>
          <w:sz w:val="24"/>
          <w:szCs w:val="24"/>
        </w:rPr>
      </w:pPr>
    </w:p>
    <w:p w14:paraId="62642646" w14:textId="3A77A284" w:rsidR="001D0250" w:rsidRPr="00CE1403" w:rsidRDefault="00774BAC" w:rsidP="00774BAC">
      <w:pPr>
        <w:rPr>
          <w:sz w:val="24"/>
          <w:szCs w:val="24"/>
        </w:rPr>
      </w:pPr>
      <w:r w:rsidRPr="00CE1403">
        <w:rPr>
          <w:b/>
          <w:sz w:val="24"/>
          <w:szCs w:val="24"/>
        </w:rPr>
        <w:t>Whereas</w:t>
      </w:r>
      <w:r w:rsidRPr="00CE1403">
        <w:rPr>
          <w:sz w:val="24"/>
          <w:szCs w:val="24"/>
        </w:rPr>
        <w:t xml:space="preserve"> </w:t>
      </w:r>
      <w:r w:rsidR="001D0250" w:rsidRPr="00CE1403">
        <w:rPr>
          <w:sz w:val="24"/>
          <w:szCs w:val="24"/>
        </w:rPr>
        <w:t>tenure is the means by which academic freedom, the creation of new knowledge, shared governance, and curricular integrity are encouraged and protected</w:t>
      </w:r>
      <w:proofErr w:type="gramStart"/>
      <w:r w:rsidR="001D0250" w:rsidRPr="00CE1403">
        <w:rPr>
          <w:sz w:val="24"/>
          <w:szCs w:val="24"/>
        </w:rPr>
        <w:t>;</w:t>
      </w:r>
      <w:proofErr w:type="gramEnd"/>
      <w:r w:rsidR="001D0250" w:rsidRPr="00CE1403">
        <w:rPr>
          <w:sz w:val="24"/>
          <w:szCs w:val="24"/>
        </w:rPr>
        <w:t xml:space="preserve"> </w:t>
      </w:r>
    </w:p>
    <w:p w14:paraId="762E2296" w14:textId="77777777" w:rsidR="001D0250" w:rsidRPr="00CE1403" w:rsidRDefault="001D0250" w:rsidP="00774BAC">
      <w:pPr>
        <w:rPr>
          <w:sz w:val="24"/>
          <w:szCs w:val="24"/>
        </w:rPr>
      </w:pPr>
    </w:p>
    <w:p w14:paraId="40150AD1" w14:textId="32634FC3" w:rsidR="00774BAC" w:rsidRDefault="001D0250" w:rsidP="00774BAC">
      <w:pPr>
        <w:rPr>
          <w:sz w:val="24"/>
          <w:szCs w:val="24"/>
        </w:rPr>
      </w:pPr>
      <w:r w:rsidRPr="00CE1403">
        <w:rPr>
          <w:b/>
          <w:sz w:val="24"/>
          <w:szCs w:val="24"/>
        </w:rPr>
        <w:t xml:space="preserve">Whereas </w:t>
      </w:r>
      <w:r w:rsidR="00774BAC" w:rsidRPr="00CE1403">
        <w:rPr>
          <w:sz w:val="24"/>
          <w:szCs w:val="24"/>
        </w:rPr>
        <w:t xml:space="preserve">the erosion of tenure both locally and nationally is a major threat to academic freedom, shared governance, curricular integrity, and </w:t>
      </w:r>
      <w:r w:rsidR="00BD3AC1" w:rsidRPr="00CE1403">
        <w:rPr>
          <w:sz w:val="24"/>
          <w:szCs w:val="24"/>
        </w:rPr>
        <w:t xml:space="preserve">to </w:t>
      </w:r>
      <w:r w:rsidR="00774BAC" w:rsidRPr="00CE1403">
        <w:rPr>
          <w:sz w:val="24"/>
          <w:szCs w:val="24"/>
        </w:rPr>
        <w:t>increasing research, scholar</w:t>
      </w:r>
      <w:r w:rsidR="00245358" w:rsidRPr="00CE1403">
        <w:rPr>
          <w:sz w:val="24"/>
          <w:szCs w:val="24"/>
        </w:rPr>
        <w:t>ly, and creative activity of</w:t>
      </w:r>
      <w:r w:rsidR="00BD3AC1" w:rsidRPr="00CE1403">
        <w:rPr>
          <w:sz w:val="24"/>
          <w:szCs w:val="24"/>
        </w:rPr>
        <w:t xml:space="preserve"> the</w:t>
      </w:r>
      <w:r w:rsidR="00774BAC" w:rsidRPr="00CE1403">
        <w:rPr>
          <w:sz w:val="24"/>
          <w:szCs w:val="24"/>
        </w:rPr>
        <w:t xml:space="preserve"> faculty;</w:t>
      </w:r>
    </w:p>
    <w:p w14:paraId="1A2DC9D0" w14:textId="77777777" w:rsidR="009C183A" w:rsidRDefault="009C183A" w:rsidP="00774BAC">
      <w:pPr>
        <w:rPr>
          <w:sz w:val="24"/>
          <w:szCs w:val="24"/>
        </w:rPr>
      </w:pPr>
    </w:p>
    <w:p w14:paraId="2E5200A7" w14:textId="7AB95B1F" w:rsidR="003D41C9" w:rsidRPr="003D41C9" w:rsidRDefault="003D41C9" w:rsidP="003D41C9">
      <w:pPr>
        <w:rPr>
          <w:rFonts w:ascii="Times New Roman" w:eastAsia="Times New Roman" w:hAnsi="Times New Roman" w:cs="Times New Roman"/>
          <w:sz w:val="20"/>
          <w:szCs w:val="20"/>
        </w:rPr>
      </w:pPr>
      <w:r w:rsidRPr="009F135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Whereas</w:t>
      </w:r>
      <w:r w:rsidRPr="009F135C">
        <w:rPr>
          <w:rFonts w:ascii="Calibri" w:eastAsia="Times New Roman" w:hAnsi="Calibri" w:cs="Times New Roman"/>
          <w:color w:val="000000"/>
          <w:sz w:val="24"/>
          <w:szCs w:val="24"/>
        </w:rPr>
        <w:t xml:space="preserve"> cuts in recent years have continued to flatline or even decrease the number of tenure track faculty in most departments, even though President </w:t>
      </w:r>
      <w:proofErr w:type="spellStart"/>
      <w:r w:rsidRPr="009F135C">
        <w:rPr>
          <w:rFonts w:ascii="Calibri" w:eastAsia="Times New Roman" w:hAnsi="Calibri" w:cs="Times New Roman"/>
          <w:color w:val="000000"/>
          <w:sz w:val="24"/>
          <w:szCs w:val="24"/>
        </w:rPr>
        <w:t>Nellis</w:t>
      </w:r>
      <w:proofErr w:type="spellEnd"/>
      <w:r w:rsidRPr="009F135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EVP &amp; Provost </w:t>
      </w:r>
      <w:proofErr w:type="spellStart"/>
      <w:r w:rsidRPr="009F135C">
        <w:rPr>
          <w:rFonts w:ascii="Calibri" w:eastAsia="Times New Roman" w:hAnsi="Calibri" w:cs="Times New Roman"/>
          <w:color w:val="000000"/>
          <w:shd w:val="clear" w:color="auto" w:fill="FFFFFF"/>
        </w:rPr>
        <w:t>Djalali</w:t>
      </w:r>
      <w:proofErr w:type="spellEnd"/>
      <w:r w:rsidRPr="009F135C">
        <w:rPr>
          <w:rFonts w:ascii="Calibri" w:eastAsia="Times New Roman" w:hAnsi="Calibri" w:cs="Times New Roman"/>
          <w:color w:val="000000"/>
          <w:sz w:val="24"/>
          <w:szCs w:val="24"/>
        </w:rPr>
        <w:t> have publicly stated their desire to raise the research profile of Ohio University;</w:t>
      </w:r>
    </w:p>
    <w:p w14:paraId="057ABF34" w14:textId="77777777" w:rsidR="003D41C9" w:rsidRDefault="003D41C9" w:rsidP="009C183A">
      <w:pPr>
        <w:rPr>
          <w:b/>
          <w:sz w:val="24"/>
          <w:szCs w:val="24"/>
        </w:rPr>
      </w:pPr>
    </w:p>
    <w:p w14:paraId="42033E5E" w14:textId="55877092" w:rsidR="00796E7D" w:rsidRPr="00796E7D" w:rsidRDefault="00796E7D" w:rsidP="009C18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 </w:t>
      </w:r>
      <w:r w:rsidR="006D4683">
        <w:rPr>
          <w:sz w:val="24"/>
          <w:szCs w:val="24"/>
        </w:rPr>
        <w:t xml:space="preserve">finding pathways to move </w:t>
      </w:r>
      <w:r>
        <w:rPr>
          <w:sz w:val="24"/>
          <w:szCs w:val="24"/>
        </w:rPr>
        <w:t xml:space="preserve">non-tenure track lines to tenure track lines would help support the research mission and </w:t>
      </w:r>
      <w:r w:rsidR="00D71C96">
        <w:rPr>
          <w:sz w:val="24"/>
          <w:szCs w:val="24"/>
        </w:rPr>
        <w:t>since movement from NT</w:t>
      </w:r>
      <w:r w:rsidR="006D4683">
        <w:rPr>
          <w:sz w:val="24"/>
          <w:szCs w:val="24"/>
        </w:rPr>
        <w:t xml:space="preserve">T to TT </w:t>
      </w:r>
      <w:r>
        <w:rPr>
          <w:sz w:val="24"/>
          <w:szCs w:val="24"/>
        </w:rPr>
        <w:t>can be achieved through multiple avenues, including the c</w:t>
      </w:r>
      <w:r w:rsidR="00D71C96">
        <w:rPr>
          <w:sz w:val="24"/>
          <w:szCs w:val="24"/>
        </w:rPr>
        <w:t>onversion of nationally hired NT</w:t>
      </w:r>
      <w:r>
        <w:rPr>
          <w:sz w:val="24"/>
          <w:szCs w:val="24"/>
        </w:rPr>
        <w:t>T faculty to TT as appropriate;</w:t>
      </w:r>
      <w:r w:rsidR="006B430E">
        <w:rPr>
          <w:sz w:val="24"/>
          <w:szCs w:val="24"/>
        </w:rPr>
        <w:t xml:space="preserve"> and</w:t>
      </w:r>
    </w:p>
    <w:p w14:paraId="68BB085B" w14:textId="77777777" w:rsidR="006B6B1C" w:rsidRPr="00CE1403" w:rsidRDefault="006B6B1C" w:rsidP="00774BAC">
      <w:pPr>
        <w:rPr>
          <w:sz w:val="24"/>
          <w:szCs w:val="24"/>
        </w:rPr>
      </w:pPr>
    </w:p>
    <w:p w14:paraId="21843A3D" w14:textId="354DC763" w:rsidR="006B6B1C" w:rsidRPr="00AC4992" w:rsidRDefault="006B6B1C" w:rsidP="006B6B1C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Whereas </w:t>
      </w:r>
      <w:r w:rsidRPr="000138B2">
        <w:rPr>
          <w:sz w:val="24"/>
          <w:szCs w:val="24"/>
        </w:rPr>
        <w:t>the upcoming integration of RHE faculty into the Athens campus departments</w:t>
      </w:r>
      <w:r>
        <w:rPr>
          <w:sz w:val="24"/>
          <w:szCs w:val="24"/>
        </w:rPr>
        <w:t xml:space="preserve"> will require due diligence afforded to appropriate TRS </w:t>
      </w:r>
      <w:proofErr w:type="gramStart"/>
      <w:r>
        <w:rPr>
          <w:sz w:val="24"/>
          <w:szCs w:val="24"/>
        </w:rPr>
        <w:t>scores and promotion</w:t>
      </w:r>
      <w:proofErr w:type="gramEnd"/>
      <w:r>
        <w:rPr>
          <w:sz w:val="24"/>
          <w:szCs w:val="24"/>
        </w:rPr>
        <w:t xml:space="preserve"> and tenure guidelines</w:t>
      </w:r>
      <w:r w:rsidR="00AC4992">
        <w:rPr>
          <w:sz w:val="24"/>
          <w:szCs w:val="24"/>
        </w:rPr>
        <w:t>;</w:t>
      </w:r>
      <w:r w:rsidR="001C5EBC">
        <w:rPr>
          <w:sz w:val="24"/>
          <w:szCs w:val="24"/>
        </w:rPr>
        <w:t xml:space="preserve"> </w:t>
      </w:r>
    </w:p>
    <w:p w14:paraId="327BF412" w14:textId="77777777" w:rsidR="009C183A" w:rsidRPr="005361A6" w:rsidRDefault="009C183A" w:rsidP="00774BAC">
      <w:pPr>
        <w:rPr>
          <w:rFonts w:eastAsiaTheme="minorHAnsi"/>
        </w:rPr>
      </w:pPr>
    </w:p>
    <w:p w14:paraId="64226947" w14:textId="77777777" w:rsidR="00B018D2" w:rsidRPr="00AC4992" w:rsidRDefault="00B018D2" w:rsidP="00774BAC">
      <w:pPr>
        <w:rPr>
          <w:b/>
          <w:color w:val="FF0000"/>
          <w:sz w:val="24"/>
          <w:szCs w:val="24"/>
        </w:rPr>
      </w:pPr>
    </w:p>
    <w:p w14:paraId="0985000C" w14:textId="4AEC3E64" w:rsidR="00774BAC" w:rsidRPr="003D41C9" w:rsidRDefault="006A65A4" w:rsidP="00774BAC">
      <w:pPr>
        <w:rPr>
          <w:b/>
          <w:sz w:val="24"/>
          <w:szCs w:val="24"/>
        </w:rPr>
      </w:pPr>
      <w:r w:rsidRPr="003D41C9">
        <w:rPr>
          <w:b/>
          <w:sz w:val="24"/>
          <w:szCs w:val="24"/>
        </w:rPr>
        <w:t xml:space="preserve">Be it resolved that </w:t>
      </w:r>
      <w:r w:rsidRPr="003D41C9">
        <w:rPr>
          <w:sz w:val="24"/>
          <w:szCs w:val="24"/>
        </w:rPr>
        <w:t xml:space="preserve">the University use its ability to hire </w:t>
      </w:r>
      <w:r w:rsidR="00B018D2" w:rsidRPr="003D41C9">
        <w:rPr>
          <w:sz w:val="24"/>
          <w:szCs w:val="24"/>
        </w:rPr>
        <w:t xml:space="preserve">tenure track faculty on </w:t>
      </w:r>
      <w:r w:rsidRPr="003D41C9">
        <w:rPr>
          <w:sz w:val="24"/>
          <w:szCs w:val="24"/>
        </w:rPr>
        <w:t>variable</w:t>
      </w:r>
      <w:r w:rsidR="00774BAC" w:rsidRPr="003D41C9">
        <w:rPr>
          <w:sz w:val="24"/>
          <w:szCs w:val="24"/>
        </w:rPr>
        <w:t xml:space="preserve"> workload </w:t>
      </w:r>
      <w:r w:rsidRPr="003D41C9">
        <w:rPr>
          <w:sz w:val="24"/>
          <w:szCs w:val="24"/>
        </w:rPr>
        <w:t xml:space="preserve">distribution </w:t>
      </w:r>
      <w:r w:rsidR="00774BAC" w:rsidRPr="003D41C9">
        <w:rPr>
          <w:sz w:val="24"/>
          <w:szCs w:val="24"/>
        </w:rPr>
        <w:t>(</w:t>
      </w:r>
      <w:r w:rsidRPr="003D41C9">
        <w:rPr>
          <w:sz w:val="24"/>
          <w:szCs w:val="24"/>
        </w:rPr>
        <w:t xml:space="preserve">Faculty Handbook </w:t>
      </w:r>
      <w:r w:rsidR="00774BAC" w:rsidRPr="003D41C9">
        <w:rPr>
          <w:sz w:val="24"/>
          <w:szCs w:val="24"/>
        </w:rPr>
        <w:t>II.A.1.B)</w:t>
      </w:r>
      <w:r w:rsidRPr="003D41C9">
        <w:rPr>
          <w:sz w:val="24"/>
          <w:szCs w:val="24"/>
        </w:rPr>
        <w:t xml:space="preserve"> to protect both the research and teaching mission of academic departments</w:t>
      </w:r>
      <w:r w:rsidR="00A04719" w:rsidRPr="003D41C9">
        <w:rPr>
          <w:sz w:val="24"/>
          <w:szCs w:val="24"/>
        </w:rPr>
        <w:t>,</w:t>
      </w:r>
      <w:r w:rsidR="003C39D9" w:rsidRPr="003D41C9">
        <w:rPr>
          <w:sz w:val="24"/>
          <w:szCs w:val="24"/>
        </w:rPr>
        <w:t xml:space="preserve"> </w:t>
      </w:r>
      <w:r w:rsidR="003C39D9" w:rsidRPr="003D41C9">
        <w:rPr>
          <w:i/>
          <w:sz w:val="24"/>
          <w:szCs w:val="24"/>
        </w:rPr>
        <w:t xml:space="preserve">with </w:t>
      </w:r>
      <w:r w:rsidR="003C39D9" w:rsidRPr="003D41C9">
        <w:rPr>
          <w:sz w:val="24"/>
          <w:szCs w:val="24"/>
        </w:rPr>
        <w:t>the expectation that all tenure track faculty contribute to some extent to all areas (TRS) of the mission of the university</w:t>
      </w:r>
      <w:r w:rsidR="00CF65D9" w:rsidRPr="003D41C9">
        <w:rPr>
          <w:sz w:val="24"/>
          <w:szCs w:val="24"/>
        </w:rPr>
        <w:t>;</w:t>
      </w:r>
    </w:p>
    <w:p w14:paraId="4E5F8887" w14:textId="77777777" w:rsidR="00774BAC" w:rsidRPr="00CE1403" w:rsidRDefault="00774BAC" w:rsidP="00774BAC">
      <w:pPr>
        <w:rPr>
          <w:b/>
          <w:sz w:val="24"/>
          <w:szCs w:val="24"/>
        </w:rPr>
      </w:pPr>
    </w:p>
    <w:p w14:paraId="16438EB2" w14:textId="0DD03C9F" w:rsidR="003D41C9" w:rsidRDefault="003D41C9" w:rsidP="003D41C9">
      <w:pP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9F135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Be it resolved</w:t>
      </w:r>
      <w:r w:rsidRPr="009F135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 that since </w:t>
      </w:r>
      <w:r w:rsidR="006F05F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9F135C">
        <w:rPr>
          <w:sz w:val="24"/>
          <w:szCs w:val="24"/>
        </w:rPr>
        <w:t xml:space="preserve">Faculty Handbook </w:t>
      </w:r>
      <w:r w:rsidR="006F05FF">
        <w:rPr>
          <w:sz w:val="24"/>
          <w:szCs w:val="24"/>
        </w:rPr>
        <w:t>(</w:t>
      </w:r>
      <w:r w:rsidRPr="009F135C">
        <w:rPr>
          <w:sz w:val="24"/>
          <w:szCs w:val="24"/>
        </w:rPr>
        <w:t xml:space="preserve">II.A.1.B) </w:t>
      </w:r>
      <w:r w:rsidR="006F05FF">
        <w:rPr>
          <w:sz w:val="24"/>
          <w:szCs w:val="24"/>
        </w:rPr>
        <w:t xml:space="preserve">allows for </w:t>
      </w:r>
      <w:r w:rsidR="006F05FF" w:rsidRPr="009F135C">
        <w:rPr>
          <w:sz w:val="24"/>
          <w:szCs w:val="24"/>
        </w:rPr>
        <w:t>variable workload distribution</w:t>
      </w:r>
      <w:r w:rsidR="006F05FF">
        <w:rPr>
          <w:sz w:val="24"/>
          <w:szCs w:val="24"/>
        </w:rPr>
        <w:t xml:space="preserve"> for Tenure track faculty,</w:t>
      </w:r>
      <w:r w:rsidR="006F05FF" w:rsidRPr="009F135C">
        <w:rPr>
          <w:sz w:val="24"/>
          <w:szCs w:val="24"/>
        </w:rPr>
        <w:t xml:space="preserve"> </w:t>
      </w:r>
      <w:r w:rsidRPr="009F135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departments, schools, and colleges, in sync with their mission, define the mechanisms and conditions by which to hire, tenure, and promote teaching-intensive or research intensive faculty.</w:t>
      </w:r>
      <w:r w:rsidR="00286DB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DB0" w:rsidRPr="004A0D3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(Not solely to be driven by budgetary concerns.)</w:t>
      </w:r>
      <w:r w:rsidR="006B430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;</w:t>
      </w:r>
    </w:p>
    <w:p w14:paraId="0BC3DB3A" w14:textId="73BE060D" w:rsidR="00D30AB4" w:rsidRDefault="00D30AB4" w:rsidP="003D41C9">
      <w:pP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14:paraId="5BFB1396" w14:textId="5330D051" w:rsidR="00D30AB4" w:rsidRPr="00D30AB4" w:rsidRDefault="00D30AB4" w:rsidP="003D41C9">
      <w:pPr>
        <w:rPr>
          <w:sz w:val="24"/>
          <w:szCs w:val="24"/>
        </w:rPr>
      </w:pPr>
      <w:r w:rsidRPr="00CE1403">
        <w:rPr>
          <w:b/>
          <w:sz w:val="24"/>
          <w:szCs w:val="24"/>
        </w:rPr>
        <w:t>Be it resolved</w:t>
      </w:r>
      <w:r w:rsidRPr="00CE1403">
        <w:rPr>
          <w:sz w:val="24"/>
          <w:szCs w:val="24"/>
        </w:rPr>
        <w:t xml:space="preserve"> that those responsible for hiring requests and decisions will hire, whenever possible, tenure track faculty at differential workloads</w:t>
      </w:r>
      <w:r w:rsidR="00286DB0">
        <w:rPr>
          <w:sz w:val="24"/>
          <w:szCs w:val="24"/>
        </w:rPr>
        <w:t xml:space="preserve"> before defaulting to</w:t>
      </w:r>
      <w:r w:rsidRPr="00CE1403">
        <w:rPr>
          <w:sz w:val="24"/>
          <w:szCs w:val="24"/>
        </w:rPr>
        <w:t xml:space="preserve"> </w:t>
      </w:r>
      <w:r w:rsidR="00286DB0">
        <w:rPr>
          <w:sz w:val="24"/>
          <w:szCs w:val="24"/>
        </w:rPr>
        <w:t>non-tenure track</w:t>
      </w:r>
      <w:r>
        <w:rPr>
          <w:sz w:val="24"/>
          <w:szCs w:val="24"/>
        </w:rPr>
        <w:t xml:space="preserve"> Instructional faculty</w:t>
      </w:r>
      <w:r w:rsidR="00286DB0" w:rsidRPr="004A0D31">
        <w:rPr>
          <w:sz w:val="24"/>
          <w:szCs w:val="24"/>
        </w:rPr>
        <w:t>. Reliance on</w:t>
      </w:r>
      <w:r w:rsidRPr="004A0D31">
        <w:rPr>
          <w:sz w:val="24"/>
          <w:szCs w:val="24"/>
        </w:rPr>
        <w:t xml:space="preserve"> part-time, fixed term contract instructors</w:t>
      </w:r>
      <w:r w:rsidR="00286DB0" w:rsidRPr="004A0D31">
        <w:rPr>
          <w:sz w:val="24"/>
          <w:szCs w:val="24"/>
        </w:rPr>
        <w:t xml:space="preserve"> should be rare</w:t>
      </w:r>
      <w:proofErr w:type="gramStart"/>
      <w:r w:rsidR="006B430E">
        <w:rPr>
          <w:sz w:val="24"/>
          <w:szCs w:val="24"/>
        </w:rPr>
        <w:t>;</w:t>
      </w:r>
      <w:proofErr w:type="gramEnd"/>
      <w:r w:rsidRPr="00CE1403">
        <w:rPr>
          <w:sz w:val="24"/>
          <w:szCs w:val="24"/>
        </w:rPr>
        <w:t xml:space="preserve"> </w:t>
      </w:r>
    </w:p>
    <w:p w14:paraId="126E5351" w14:textId="77777777" w:rsidR="009C183A" w:rsidRDefault="009C183A" w:rsidP="00774BAC">
      <w:pPr>
        <w:rPr>
          <w:sz w:val="24"/>
          <w:szCs w:val="24"/>
        </w:rPr>
      </w:pPr>
    </w:p>
    <w:p w14:paraId="7C3E3452" w14:textId="5B5DA000" w:rsidR="009C183A" w:rsidRDefault="009C183A" w:rsidP="009C183A">
      <w:pPr>
        <w:rPr>
          <w:sz w:val="24"/>
          <w:szCs w:val="24"/>
        </w:rPr>
      </w:pPr>
      <w:r w:rsidRPr="00CE1403">
        <w:rPr>
          <w:b/>
          <w:sz w:val="24"/>
          <w:szCs w:val="24"/>
        </w:rPr>
        <w:t>Be it resolved</w:t>
      </w:r>
      <w:r w:rsidRPr="00CE1403">
        <w:rPr>
          <w:sz w:val="24"/>
          <w:szCs w:val="24"/>
        </w:rPr>
        <w:t xml:space="preserve"> </w:t>
      </w:r>
      <w:r w:rsidRPr="00D71C96">
        <w:rPr>
          <w:sz w:val="24"/>
          <w:szCs w:val="24"/>
        </w:rPr>
        <w:t xml:space="preserve">that </w:t>
      </w:r>
      <w:r w:rsidR="006D4683" w:rsidRPr="00D71C96">
        <w:rPr>
          <w:sz w:val="24"/>
          <w:szCs w:val="24"/>
        </w:rPr>
        <w:t>while recognizing that departments need flexibility to make certain determinations,</w:t>
      </w:r>
      <w:r w:rsidR="006D4683">
        <w:rPr>
          <w:sz w:val="24"/>
          <w:szCs w:val="24"/>
        </w:rPr>
        <w:t xml:space="preserve"> </w:t>
      </w:r>
      <w:r w:rsidRPr="00CE1403">
        <w:rPr>
          <w:sz w:val="24"/>
          <w:szCs w:val="24"/>
        </w:rPr>
        <w:t xml:space="preserve">the Senate and </w:t>
      </w:r>
      <w:r>
        <w:rPr>
          <w:sz w:val="24"/>
          <w:szCs w:val="24"/>
        </w:rPr>
        <w:t>Provost’s Office</w:t>
      </w:r>
      <w:r w:rsidRPr="00CE1403">
        <w:rPr>
          <w:sz w:val="24"/>
          <w:szCs w:val="24"/>
        </w:rPr>
        <w:t xml:space="preserve"> </w:t>
      </w:r>
      <w:r w:rsidR="006A022E" w:rsidRPr="009F135C">
        <w:rPr>
          <w:sz w:val="24"/>
          <w:szCs w:val="24"/>
        </w:rPr>
        <w:t>collaboratively</w:t>
      </w:r>
      <w:r w:rsidR="006A022E">
        <w:rPr>
          <w:sz w:val="24"/>
          <w:szCs w:val="24"/>
        </w:rPr>
        <w:t xml:space="preserve"> </w:t>
      </w:r>
      <w:r>
        <w:rPr>
          <w:sz w:val="24"/>
          <w:szCs w:val="24"/>
        </w:rPr>
        <w:t>create</w:t>
      </w:r>
      <w:r w:rsidRPr="00CE1403">
        <w:rPr>
          <w:sz w:val="24"/>
          <w:szCs w:val="24"/>
        </w:rPr>
        <w:t xml:space="preserve"> mechanisms for </w:t>
      </w:r>
      <w:r w:rsidR="00FA6883" w:rsidRPr="00D71C96">
        <w:rPr>
          <w:sz w:val="24"/>
          <w:szCs w:val="24"/>
        </w:rPr>
        <w:t>establishing</w:t>
      </w:r>
      <w:r w:rsidR="00FA6883" w:rsidRPr="006D4683">
        <w:rPr>
          <w:color w:val="FF0000"/>
          <w:sz w:val="24"/>
          <w:szCs w:val="24"/>
        </w:rPr>
        <w:t xml:space="preserve"> </w:t>
      </w:r>
      <w:r w:rsidRPr="00CE1403">
        <w:rPr>
          <w:sz w:val="24"/>
          <w:szCs w:val="24"/>
        </w:rPr>
        <w:t xml:space="preserve">appropriate </w:t>
      </w:r>
      <w:r w:rsidR="00FA6883" w:rsidRPr="00D71C96">
        <w:rPr>
          <w:sz w:val="24"/>
          <w:szCs w:val="24"/>
        </w:rPr>
        <w:t>pathways from</w:t>
      </w:r>
      <w:r w:rsidR="00FA6883">
        <w:rPr>
          <w:color w:val="FF0000"/>
          <w:sz w:val="24"/>
          <w:szCs w:val="24"/>
        </w:rPr>
        <w:t xml:space="preserve"> </w:t>
      </w:r>
      <w:r w:rsidRPr="00CE1403">
        <w:rPr>
          <w:sz w:val="24"/>
          <w:szCs w:val="24"/>
        </w:rPr>
        <w:t>non-tenure track to teaching</w:t>
      </w:r>
      <w:r w:rsidR="006A022E">
        <w:rPr>
          <w:sz w:val="24"/>
          <w:szCs w:val="24"/>
        </w:rPr>
        <w:t>-</w:t>
      </w:r>
      <w:r w:rsidRPr="00CE1403">
        <w:rPr>
          <w:sz w:val="24"/>
          <w:szCs w:val="24"/>
        </w:rPr>
        <w:t xml:space="preserve"> or research-intensive tenure track lines</w:t>
      </w:r>
      <w:r>
        <w:rPr>
          <w:sz w:val="24"/>
          <w:szCs w:val="24"/>
        </w:rPr>
        <w:t>;</w:t>
      </w:r>
    </w:p>
    <w:p w14:paraId="2C31F9B5" w14:textId="77777777" w:rsidR="006A022E" w:rsidRDefault="006A022E" w:rsidP="00B018D2">
      <w:pPr>
        <w:rPr>
          <w:b/>
          <w:strike/>
          <w:sz w:val="24"/>
          <w:szCs w:val="24"/>
        </w:rPr>
      </w:pPr>
    </w:p>
    <w:p w14:paraId="3A06AB8E" w14:textId="3122D0D2" w:rsidR="00B018D2" w:rsidRPr="004A0D31" w:rsidRDefault="006D6A99" w:rsidP="006F05FF">
      <w:pPr>
        <w:rPr>
          <w:strike/>
          <w:sz w:val="24"/>
          <w:szCs w:val="24"/>
        </w:rPr>
      </w:pPr>
      <w:r w:rsidRPr="004A0D31">
        <w:rPr>
          <w:b/>
          <w:sz w:val="24"/>
          <w:szCs w:val="24"/>
        </w:rPr>
        <w:t>Be it resolved</w:t>
      </w:r>
      <w:r w:rsidRPr="004A0D31">
        <w:rPr>
          <w:sz w:val="24"/>
          <w:szCs w:val="24"/>
        </w:rPr>
        <w:t xml:space="preserve"> that </w:t>
      </w:r>
      <w:r w:rsidR="00D30AB4" w:rsidRPr="004A0D31">
        <w:rPr>
          <w:sz w:val="24"/>
          <w:szCs w:val="24"/>
        </w:rPr>
        <w:t xml:space="preserve">potential </w:t>
      </w:r>
      <w:r w:rsidRPr="004A0D31">
        <w:rPr>
          <w:sz w:val="24"/>
          <w:szCs w:val="24"/>
        </w:rPr>
        <w:t xml:space="preserve">implicit or invisible </w:t>
      </w:r>
      <w:r w:rsidR="006D4683">
        <w:rPr>
          <w:sz w:val="24"/>
          <w:szCs w:val="24"/>
        </w:rPr>
        <w:t>effects</w:t>
      </w:r>
      <w:r w:rsidRPr="004A0D31">
        <w:rPr>
          <w:sz w:val="24"/>
          <w:szCs w:val="24"/>
        </w:rPr>
        <w:t xml:space="preserve"> of changes in distributions </w:t>
      </w:r>
      <w:proofErr w:type="gramStart"/>
      <w:r w:rsidRPr="004A0D31">
        <w:rPr>
          <w:sz w:val="24"/>
          <w:szCs w:val="24"/>
        </w:rPr>
        <w:t>be considered</w:t>
      </w:r>
      <w:proofErr w:type="gramEnd"/>
      <w:r w:rsidRPr="004A0D31">
        <w:rPr>
          <w:sz w:val="24"/>
          <w:szCs w:val="24"/>
        </w:rPr>
        <w:t xml:space="preserve"> when making decisions</w:t>
      </w:r>
      <w:r w:rsidR="00D30AB4" w:rsidRPr="004A0D31">
        <w:rPr>
          <w:sz w:val="24"/>
          <w:szCs w:val="24"/>
        </w:rPr>
        <w:t xml:space="preserve">.  </w:t>
      </w:r>
      <w:r w:rsidR="006F05FF" w:rsidRPr="004A0D31">
        <w:rPr>
          <w:sz w:val="24"/>
          <w:szCs w:val="24"/>
        </w:rPr>
        <w:t xml:space="preserve">For instance lowering service expectations </w:t>
      </w:r>
      <w:r w:rsidR="00796E7D" w:rsidRPr="004A0D31">
        <w:rPr>
          <w:sz w:val="24"/>
          <w:szCs w:val="24"/>
        </w:rPr>
        <w:t xml:space="preserve">not only </w:t>
      </w:r>
      <w:r w:rsidR="006D4683">
        <w:rPr>
          <w:sz w:val="24"/>
          <w:szCs w:val="24"/>
        </w:rPr>
        <w:t xml:space="preserve">effects </w:t>
      </w:r>
      <w:r w:rsidR="00796E7D" w:rsidRPr="004A0D31">
        <w:rPr>
          <w:sz w:val="24"/>
          <w:szCs w:val="24"/>
        </w:rPr>
        <w:t>shared governance</w:t>
      </w:r>
      <w:r w:rsidR="00286DB0" w:rsidRPr="004A0D31">
        <w:rPr>
          <w:sz w:val="24"/>
          <w:szCs w:val="24"/>
        </w:rPr>
        <w:t xml:space="preserve"> and engagement</w:t>
      </w:r>
      <w:r w:rsidR="00796E7D" w:rsidRPr="004A0D31">
        <w:rPr>
          <w:sz w:val="24"/>
          <w:szCs w:val="24"/>
        </w:rPr>
        <w:t xml:space="preserve"> internally, but would also </w:t>
      </w:r>
      <w:r w:rsidR="006D4683">
        <w:rPr>
          <w:sz w:val="24"/>
          <w:szCs w:val="24"/>
        </w:rPr>
        <w:t xml:space="preserve">have consequences for </w:t>
      </w:r>
      <w:r w:rsidR="00796E7D" w:rsidRPr="004A0D31">
        <w:rPr>
          <w:sz w:val="24"/>
          <w:szCs w:val="24"/>
        </w:rPr>
        <w:t xml:space="preserve">Ohio University’s faculty’s ability to raise the </w:t>
      </w:r>
      <w:r w:rsidR="00B018D2" w:rsidRPr="004A0D31">
        <w:rPr>
          <w:sz w:val="24"/>
          <w:szCs w:val="24"/>
        </w:rPr>
        <w:t>national and international profile of faculty</w:t>
      </w:r>
      <w:r w:rsidR="00796E7D" w:rsidRPr="004A0D31">
        <w:rPr>
          <w:sz w:val="24"/>
          <w:szCs w:val="24"/>
        </w:rPr>
        <w:t xml:space="preserve"> through engagement outside of the university</w:t>
      </w:r>
      <w:r w:rsidR="006B430E">
        <w:rPr>
          <w:sz w:val="24"/>
          <w:szCs w:val="24"/>
        </w:rPr>
        <w:t>;</w:t>
      </w:r>
    </w:p>
    <w:p w14:paraId="66C2E536" w14:textId="77777777" w:rsidR="00774BAC" w:rsidRPr="004A0D31" w:rsidRDefault="00774BAC" w:rsidP="00774BAC">
      <w:pPr>
        <w:rPr>
          <w:sz w:val="24"/>
          <w:szCs w:val="24"/>
        </w:rPr>
      </w:pPr>
    </w:p>
    <w:p w14:paraId="7323FCFD" w14:textId="0190F46A" w:rsidR="006D6A99" w:rsidRDefault="006D6A99" w:rsidP="006D6A9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A0D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Be it resolved</w:t>
      </w:r>
      <w:r w:rsidRPr="004A0D31">
        <w:rPr>
          <w:rFonts w:ascii="Calibri" w:eastAsia="Times New Roman" w:hAnsi="Calibri" w:cs="Times New Roman"/>
          <w:color w:val="000000"/>
          <w:sz w:val="24"/>
          <w:szCs w:val="24"/>
        </w:rPr>
        <w:t xml:space="preserve"> that faculty workloads be transparent and fairly evaluated with clear metrics for faculty evaluation based </w:t>
      </w:r>
      <w:r w:rsidR="00286DB0" w:rsidRPr="004A0D31">
        <w:rPr>
          <w:rFonts w:ascii="Calibri" w:eastAsia="Times New Roman" w:hAnsi="Calibri" w:cs="Times New Roman"/>
          <w:color w:val="000000"/>
          <w:sz w:val="24"/>
          <w:szCs w:val="24"/>
        </w:rPr>
        <w:t>on differential workloads; and, that</w:t>
      </w:r>
      <w:r w:rsidR="007D63C2">
        <w:rPr>
          <w:rFonts w:ascii="Calibri" w:eastAsia="Times New Roman" w:hAnsi="Calibri" w:cs="Times New Roman"/>
          <w:color w:val="000000"/>
          <w:sz w:val="24"/>
          <w:szCs w:val="24"/>
        </w:rPr>
        <w:t xml:space="preserve"> evaluation </w:t>
      </w:r>
      <w:r w:rsidRPr="004A0D31">
        <w:rPr>
          <w:rFonts w:ascii="Calibri" w:eastAsia="Times New Roman" w:hAnsi="Calibri" w:cs="Times New Roman"/>
          <w:color w:val="000000"/>
          <w:sz w:val="24"/>
          <w:szCs w:val="24"/>
        </w:rPr>
        <w:t>and promotion and tenure criteria reflect actual workload distribution of faculty, including teaching-intensive, research-intensive or balanced faculty lines as appropriate to their mission</w:t>
      </w:r>
      <w:r w:rsidR="006B430E">
        <w:rPr>
          <w:rFonts w:ascii="Calibri" w:eastAsia="Times New Roman" w:hAnsi="Calibri" w:cs="Times New Roman"/>
          <w:color w:val="000000"/>
          <w:sz w:val="24"/>
          <w:szCs w:val="24"/>
        </w:rPr>
        <w:t>; and</w:t>
      </w:r>
    </w:p>
    <w:p w14:paraId="15F2F664" w14:textId="77777777" w:rsidR="000138B2" w:rsidRDefault="000138B2" w:rsidP="00774BAC">
      <w:pPr>
        <w:rPr>
          <w:sz w:val="24"/>
          <w:szCs w:val="24"/>
        </w:rPr>
      </w:pPr>
    </w:p>
    <w:p w14:paraId="24E3124D" w14:textId="46CE4F7B" w:rsidR="000138B2" w:rsidRPr="00A427DA" w:rsidRDefault="000138B2" w:rsidP="00774BAC">
      <w:pPr>
        <w:rPr>
          <w:sz w:val="24"/>
          <w:szCs w:val="24"/>
        </w:rPr>
      </w:pPr>
      <w:r w:rsidRPr="00F14DB3">
        <w:rPr>
          <w:b/>
          <w:sz w:val="24"/>
          <w:szCs w:val="24"/>
        </w:rPr>
        <w:t>Be it resolved</w:t>
      </w:r>
      <w:r w:rsidR="00A427DA" w:rsidRPr="00F14DB3">
        <w:rPr>
          <w:sz w:val="24"/>
          <w:szCs w:val="24"/>
        </w:rPr>
        <w:t xml:space="preserve">, we request that if </w:t>
      </w:r>
      <w:proofErr w:type="gramStart"/>
      <w:r w:rsidR="00A427DA" w:rsidRPr="00F14DB3">
        <w:rPr>
          <w:sz w:val="24"/>
          <w:szCs w:val="24"/>
        </w:rPr>
        <w:t>this resolution is supported by the Faculty Senate the P</w:t>
      </w:r>
      <w:r w:rsidRPr="00F14DB3">
        <w:rPr>
          <w:sz w:val="24"/>
          <w:szCs w:val="24"/>
        </w:rPr>
        <w:t>rovost</w:t>
      </w:r>
      <w:proofErr w:type="gramEnd"/>
      <w:r w:rsidRPr="00F14DB3">
        <w:rPr>
          <w:sz w:val="24"/>
          <w:szCs w:val="24"/>
        </w:rPr>
        <w:t xml:space="preserve"> signs this Sense of the Senate resolution in support</w:t>
      </w:r>
      <w:r w:rsidR="00A427DA" w:rsidRPr="00F14DB3">
        <w:rPr>
          <w:sz w:val="24"/>
          <w:szCs w:val="24"/>
        </w:rPr>
        <w:t xml:space="preserve"> as outlined in VI</w:t>
      </w:r>
      <w:r w:rsidRPr="00F14DB3">
        <w:rPr>
          <w:sz w:val="24"/>
          <w:szCs w:val="24"/>
        </w:rPr>
        <w:t>.</w:t>
      </w:r>
      <w:r w:rsidR="00A427DA" w:rsidRPr="00F14DB3">
        <w:rPr>
          <w:sz w:val="24"/>
          <w:szCs w:val="24"/>
        </w:rPr>
        <w:t xml:space="preserve">B.4.F of the </w:t>
      </w:r>
      <w:r w:rsidR="00A427DA" w:rsidRPr="00F14DB3">
        <w:rPr>
          <w:i/>
          <w:sz w:val="24"/>
          <w:szCs w:val="24"/>
        </w:rPr>
        <w:t>Faculty Handbook</w:t>
      </w:r>
      <w:r w:rsidR="006B430E">
        <w:rPr>
          <w:sz w:val="24"/>
          <w:szCs w:val="24"/>
        </w:rPr>
        <w:t xml:space="preserve"> (“The Provost may sign the resolution as reflection of support for the Senate’s position”)</w:t>
      </w:r>
      <w:r w:rsidR="00A427DA" w:rsidRPr="00F14DB3">
        <w:rPr>
          <w:sz w:val="24"/>
          <w:szCs w:val="24"/>
        </w:rPr>
        <w:t>.</w:t>
      </w:r>
    </w:p>
    <w:p w14:paraId="22997637" w14:textId="77777777" w:rsidR="00774BAC" w:rsidRPr="00CE1403" w:rsidRDefault="00774BAC" w:rsidP="00774BAC">
      <w:pPr>
        <w:rPr>
          <w:sz w:val="24"/>
          <w:szCs w:val="24"/>
        </w:rPr>
      </w:pPr>
    </w:p>
    <w:p w14:paraId="4E9C6F7D" w14:textId="77777777" w:rsidR="00396DD7" w:rsidRPr="00CE1403" w:rsidRDefault="00396DD7">
      <w:pPr>
        <w:rPr>
          <w:sz w:val="24"/>
          <w:szCs w:val="24"/>
        </w:rPr>
      </w:pPr>
    </w:p>
    <w:p w14:paraId="4DF3B5EC" w14:textId="4DDFCF0C" w:rsidR="00CF65D9" w:rsidRPr="00CE1403" w:rsidRDefault="00CF65D9">
      <w:pPr>
        <w:rPr>
          <w:sz w:val="24"/>
          <w:szCs w:val="24"/>
        </w:rPr>
      </w:pPr>
    </w:p>
    <w:sectPr w:rsidR="00CF65D9" w:rsidRPr="00CE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9C5"/>
    <w:multiLevelType w:val="hybridMultilevel"/>
    <w:tmpl w:val="E3A497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AC"/>
    <w:rsid w:val="000068CA"/>
    <w:rsid w:val="00012A85"/>
    <w:rsid w:val="000138B2"/>
    <w:rsid w:val="00015094"/>
    <w:rsid w:val="00066237"/>
    <w:rsid w:val="00077707"/>
    <w:rsid w:val="000C4723"/>
    <w:rsid w:val="0011263D"/>
    <w:rsid w:val="001611EC"/>
    <w:rsid w:val="0019018A"/>
    <w:rsid w:val="001C5EBC"/>
    <w:rsid w:val="001D0250"/>
    <w:rsid w:val="001E42AA"/>
    <w:rsid w:val="00216B88"/>
    <w:rsid w:val="00245358"/>
    <w:rsid w:val="00254038"/>
    <w:rsid w:val="00286DB0"/>
    <w:rsid w:val="002972A3"/>
    <w:rsid w:val="00297B9A"/>
    <w:rsid w:val="002D68A3"/>
    <w:rsid w:val="00314BCC"/>
    <w:rsid w:val="00314F27"/>
    <w:rsid w:val="003236A7"/>
    <w:rsid w:val="00396DD7"/>
    <w:rsid w:val="003C39D9"/>
    <w:rsid w:val="003D41C9"/>
    <w:rsid w:val="003E604A"/>
    <w:rsid w:val="003F5A19"/>
    <w:rsid w:val="004515E8"/>
    <w:rsid w:val="00482779"/>
    <w:rsid w:val="004A0D31"/>
    <w:rsid w:val="004A2A22"/>
    <w:rsid w:val="004F74AA"/>
    <w:rsid w:val="00535F14"/>
    <w:rsid w:val="005361A6"/>
    <w:rsid w:val="0065504C"/>
    <w:rsid w:val="006704D9"/>
    <w:rsid w:val="006A022E"/>
    <w:rsid w:val="006A65A4"/>
    <w:rsid w:val="006A71FF"/>
    <w:rsid w:val="006B430E"/>
    <w:rsid w:val="006B6B1C"/>
    <w:rsid w:val="006B71B8"/>
    <w:rsid w:val="006D4683"/>
    <w:rsid w:val="006D6A99"/>
    <w:rsid w:val="006F05FF"/>
    <w:rsid w:val="00774BAC"/>
    <w:rsid w:val="00796E7D"/>
    <w:rsid w:val="007D499B"/>
    <w:rsid w:val="007D63C2"/>
    <w:rsid w:val="00811B91"/>
    <w:rsid w:val="00890135"/>
    <w:rsid w:val="00894F5A"/>
    <w:rsid w:val="00894FEB"/>
    <w:rsid w:val="008A6196"/>
    <w:rsid w:val="00905934"/>
    <w:rsid w:val="009C183A"/>
    <w:rsid w:val="009C1CF8"/>
    <w:rsid w:val="009F135C"/>
    <w:rsid w:val="00A04719"/>
    <w:rsid w:val="00A4066D"/>
    <w:rsid w:val="00A427DA"/>
    <w:rsid w:val="00AA1A89"/>
    <w:rsid w:val="00AA58A4"/>
    <w:rsid w:val="00AC4992"/>
    <w:rsid w:val="00AC6AF3"/>
    <w:rsid w:val="00AE1083"/>
    <w:rsid w:val="00B018D2"/>
    <w:rsid w:val="00B33817"/>
    <w:rsid w:val="00BD3AC1"/>
    <w:rsid w:val="00BD5306"/>
    <w:rsid w:val="00BF4B26"/>
    <w:rsid w:val="00C344ED"/>
    <w:rsid w:val="00CE1403"/>
    <w:rsid w:val="00CE34FF"/>
    <w:rsid w:val="00CF65D9"/>
    <w:rsid w:val="00D30AB4"/>
    <w:rsid w:val="00D70248"/>
    <w:rsid w:val="00D71C96"/>
    <w:rsid w:val="00EB0565"/>
    <w:rsid w:val="00EC4FA3"/>
    <w:rsid w:val="00EC74C8"/>
    <w:rsid w:val="00EF3C78"/>
    <w:rsid w:val="00F14DB3"/>
    <w:rsid w:val="00F20259"/>
    <w:rsid w:val="00F534F0"/>
    <w:rsid w:val="00FA4A62"/>
    <w:rsid w:val="00FA688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BFF57"/>
  <w15:docId w15:val="{7E8383E6-8E09-469D-A5C2-03864EF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A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4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A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AC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C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6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Sarah</dc:creator>
  <cp:keywords/>
  <dc:description/>
  <cp:lastModifiedBy>Brock, Angela</cp:lastModifiedBy>
  <cp:revision>4</cp:revision>
  <cp:lastPrinted>2018-02-27T01:04:00Z</cp:lastPrinted>
  <dcterms:created xsi:type="dcterms:W3CDTF">2019-05-07T13:24:00Z</dcterms:created>
  <dcterms:modified xsi:type="dcterms:W3CDTF">2019-05-07T17:26:00Z</dcterms:modified>
</cp:coreProperties>
</file>