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807F" w14:textId="0196305C" w:rsidR="009E3153" w:rsidRPr="009203C6" w:rsidRDefault="002D27C6" w:rsidP="0049434D">
      <w:pPr>
        <w:pStyle w:val="Default"/>
        <w:rPr>
          <w:rFonts w:asciiTheme="majorHAnsi" w:hAnsiTheme="majorHAnsi" w:cstheme="majorHAnsi"/>
        </w:rPr>
      </w:pPr>
      <w:bookmarkStart w:id="0" w:name="_GoBack"/>
      <w:bookmarkEnd w:id="0"/>
      <w:r w:rsidRPr="009203C6">
        <w:rPr>
          <w:rFonts w:asciiTheme="majorHAnsi" w:hAnsiTheme="majorHAnsi" w:cstheme="majorHAnsi"/>
          <w:noProof/>
          <w:lang w:eastAsia="en-US"/>
        </w:rPr>
        <w:drawing>
          <wp:inline distT="0" distB="0" distL="0" distR="0" wp14:anchorId="79C9F523" wp14:editId="53CE3700">
            <wp:extent cx="5334000" cy="8473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n_LOGO_with text_GREEN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0E6F9" w14:textId="77777777" w:rsidR="002D27C6" w:rsidRPr="00BC0399" w:rsidRDefault="002D27C6" w:rsidP="0049434D">
      <w:pPr>
        <w:pStyle w:val="Default"/>
        <w:rPr>
          <w:rFonts w:asciiTheme="majorHAnsi" w:hAnsiTheme="majorHAnsi" w:cstheme="majorHAnsi"/>
          <w:sz w:val="22"/>
          <w:szCs w:val="28"/>
        </w:rPr>
      </w:pPr>
    </w:p>
    <w:p w14:paraId="7C5470E2" w14:textId="00D56BA1" w:rsidR="009E3153" w:rsidRPr="009203C6" w:rsidRDefault="009E3153" w:rsidP="0049434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9203C6">
        <w:rPr>
          <w:rFonts w:asciiTheme="majorHAnsi" w:hAnsiTheme="majorHAnsi" w:cstheme="majorHAnsi"/>
          <w:sz w:val="28"/>
          <w:szCs w:val="28"/>
        </w:rPr>
        <w:t xml:space="preserve">Ohio University’s </w:t>
      </w:r>
      <w:r w:rsidRPr="009203C6">
        <w:rPr>
          <w:rFonts w:asciiTheme="majorHAnsi" w:hAnsiTheme="majorHAnsi" w:cstheme="majorHAnsi"/>
          <w:bCs/>
          <w:sz w:val="28"/>
          <w:szCs w:val="28"/>
        </w:rPr>
        <w:t xml:space="preserve">Undergraduate Scholarship </w:t>
      </w:r>
      <w:r w:rsidR="00B2080D" w:rsidRPr="009203C6">
        <w:rPr>
          <w:rFonts w:asciiTheme="majorHAnsi" w:hAnsiTheme="majorHAnsi" w:cstheme="majorHAnsi"/>
          <w:bCs/>
          <w:sz w:val="28"/>
          <w:szCs w:val="28"/>
        </w:rPr>
        <w:t>Matching</w:t>
      </w:r>
      <w:r w:rsidR="00D972C3" w:rsidRPr="009203C6">
        <w:rPr>
          <w:rFonts w:asciiTheme="majorHAnsi" w:hAnsiTheme="majorHAnsi" w:cstheme="majorHAnsi"/>
          <w:bCs/>
          <w:sz w:val="28"/>
          <w:szCs w:val="28"/>
        </w:rPr>
        <w:t xml:space="preserve"> </w:t>
      </w:r>
      <w:r w:rsidRPr="009203C6">
        <w:rPr>
          <w:rFonts w:asciiTheme="majorHAnsi" w:hAnsiTheme="majorHAnsi" w:cstheme="majorHAnsi"/>
          <w:bCs/>
          <w:sz w:val="28"/>
          <w:szCs w:val="28"/>
        </w:rPr>
        <w:t>Program</w:t>
      </w:r>
    </w:p>
    <w:p w14:paraId="4C249409" w14:textId="43A94D88" w:rsidR="009E3153" w:rsidRPr="009203C6" w:rsidRDefault="009E3153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Ohio University is committed to making significant investment</w:t>
      </w:r>
      <w:r w:rsidR="006A2104">
        <w:rPr>
          <w:rFonts w:asciiTheme="majorHAnsi" w:hAnsiTheme="majorHAnsi" w:cstheme="majorHAnsi"/>
          <w:sz w:val="22"/>
          <w:szCs w:val="22"/>
        </w:rPr>
        <w:t>s</w:t>
      </w:r>
      <w:r w:rsidRPr="009203C6">
        <w:rPr>
          <w:rFonts w:asciiTheme="majorHAnsi" w:hAnsiTheme="majorHAnsi" w:cstheme="majorHAnsi"/>
          <w:sz w:val="22"/>
          <w:szCs w:val="22"/>
        </w:rPr>
        <w:t xml:space="preserve"> to support the University’s core mission of providing access </w:t>
      </w:r>
      <w:r w:rsidR="00A5492F">
        <w:rPr>
          <w:rFonts w:asciiTheme="majorHAnsi" w:hAnsiTheme="majorHAnsi" w:cstheme="majorHAnsi"/>
          <w:sz w:val="22"/>
          <w:szCs w:val="22"/>
        </w:rPr>
        <w:t>to</w:t>
      </w:r>
      <w:r w:rsidRPr="009203C6">
        <w:rPr>
          <w:rFonts w:asciiTheme="majorHAnsi" w:hAnsiTheme="majorHAnsi" w:cstheme="majorHAnsi"/>
          <w:sz w:val="22"/>
          <w:szCs w:val="22"/>
        </w:rPr>
        <w:t xml:space="preserve"> opportunity for students seeking a college education. To this end, $25 million </w:t>
      </w:r>
      <w:r w:rsidR="009D48BB">
        <w:rPr>
          <w:rFonts w:asciiTheme="majorHAnsi" w:hAnsiTheme="majorHAnsi" w:cstheme="majorHAnsi"/>
          <w:sz w:val="22"/>
          <w:szCs w:val="22"/>
        </w:rPr>
        <w:t>has been</w:t>
      </w:r>
      <w:r w:rsidRPr="009203C6">
        <w:rPr>
          <w:rFonts w:asciiTheme="majorHAnsi" w:hAnsiTheme="majorHAnsi" w:cstheme="majorHAnsi"/>
          <w:sz w:val="22"/>
          <w:szCs w:val="22"/>
        </w:rPr>
        <w:t xml:space="preserve"> dedicated to strengthening the University’s endowed scholarship program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 through </w:t>
      </w:r>
      <w:r w:rsidR="00CE3086" w:rsidRPr="009203C6">
        <w:rPr>
          <w:rFonts w:asciiTheme="majorHAnsi" w:hAnsiTheme="majorHAnsi" w:cstheme="majorHAnsi"/>
          <w:sz w:val="22"/>
          <w:szCs w:val="22"/>
        </w:rPr>
        <w:t>The OHIO Match</w:t>
      </w:r>
      <w:r w:rsidR="000A1533" w:rsidRPr="009203C6">
        <w:rPr>
          <w:rFonts w:asciiTheme="majorHAnsi" w:hAnsiTheme="majorHAnsi" w:cstheme="majorHAnsi"/>
          <w:sz w:val="22"/>
          <w:szCs w:val="22"/>
        </w:rPr>
        <w:t>™</w:t>
      </w:r>
      <w:r w:rsidR="00CE3086" w:rsidRPr="009203C6">
        <w:rPr>
          <w:rFonts w:asciiTheme="majorHAnsi" w:hAnsiTheme="majorHAnsi" w:cstheme="majorHAnsi"/>
          <w:sz w:val="22"/>
          <w:szCs w:val="22"/>
        </w:rPr>
        <w:t xml:space="preserve"> – including the 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Undergraduate Scholarship </w:t>
      </w:r>
      <w:r w:rsidR="00B2080D" w:rsidRPr="009203C6">
        <w:rPr>
          <w:rFonts w:asciiTheme="majorHAnsi" w:hAnsiTheme="majorHAnsi" w:cstheme="majorHAnsi"/>
          <w:sz w:val="22"/>
          <w:szCs w:val="22"/>
        </w:rPr>
        <w:t xml:space="preserve">Matching 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Program and </w:t>
      </w:r>
      <w:r w:rsidR="00CE3086" w:rsidRPr="009203C6">
        <w:rPr>
          <w:rFonts w:asciiTheme="majorHAnsi" w:hAnsiTheme="majorHAnsi" w:cstheme="majorHAnsi"/>
          <w:sz w:val="22"/>
          <w:szCs w:val="22"/>
        </w:rPr>
        <w:t xml:space="preserve">the 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Targeted Scholarship </w:t>
      </w:r>
      <w:r w:rsidR="00FF5349" w:rsidRPr="009203C6">
        <w:rPr>
          <w:rFonts w:asciiTheme="majorHAnsi" w:hAnsiTheme="majorHAnsi" w:cstheme="majorHAnsi"/>
          <w:sz w:val="22"/>
          <w:szCs w:val="22"/>
        </w:rPr>
        <w:t>Matching Program</w:t>
      </w:r>
      <w:r w:rsidRPr="009203C6">
        <w:rPr>
          <w:rFonts w:asciiTheme="majorHAnsi" w:hAnsiTheme="majorHAnsi" w:cstheme="majorHAnsi"/>
          <w:sz w:val="22"/>
          <w:szCs w:val="22"/>
        </w:rPr>
        <w:t xml:space="preserve">. In order to maximize the impact of this opportunity, the University </w:t>
      </w:r>
      <w:r w:rsidR="009D48BB">
        <w:rPr>
          <w:rFonts w:asciiTheme="majorHAnsi" w:hAnsiTheme="majorHAnsi" w:cstheme="majorHAnsi"/>
          <w:sz w:val="22"/>
          <w:szCs w:val="22"/>
        </w:rPr>
        <w:t>has</w:t>
      </w:r>
      <w:r w:rsidRPr="009203C6">
        <w:rPr>
          <w:rFonts w:asciiTheme="majorHAnsi" w:hAnsiTheme="majorHAnsi" w:cstheme="majorHAnsi"/>
          <w:sz w:val="22"/>
          <w:szCs w:val="22"/>
        </w:rPr>
        <w:t xml:space="preserve"> provide</w:t>
      </w:r>
      <w:r w:rsidR="009D48BB">
        <w:rPr>
          <w:rFonts w:asciiTheme="majorHAnsi" w:hAnsiTheme="majorHAnsi" w:cstheme="majorHAnsi"/>
          <w:sz w:val="22"/>
          <w:szCs w:val="22"/>
        </w:rPr>
        <w:t>d</w:t>
      </w:r>
      <w:r w:rsidRPr="009203C6">
        <w:rPr>
          <w:rFonts w:asciiTheme="majorHAnsi" w:hAnsiTheme="majorHAnsi" w:cstheme="majorHAnsi"/>
          <w:sz w:val="22"/>
          <w:szCs w:val="22"/>
        </w:rPr>
        <w:t xml:space="preserve"> $.50 for every dollar committed to eligible scholarship endowments </w:t>
      </w:r>
      <w:r w:rsidR="009D48BB">
        <w:rPr>
          <w:rFonts w:asciiTheme="majorHAnsi" w:hAnsiTheme="majorHAnsi" w:cstheme="majorHAnsi"/>
          <w:sz w:val="22"/>
          <w:szCs w:val="22"/>
        </w:rPr>
        <w:t xml:space="preserve">since </w:t>
      </w:r>
      <w:r w:rsidRPr="009203C6">
        <w:rPr>
          <w:rFonts w:asciiTheme="majorHAnsi" w:hAnsiTheme="majorHAnsi" w:cstheme="majorHAnsi"/>
          <w:sz w:val="22"/>
          <w:szCs w:val="22"/>
        </w:rPr>
        <w:t>July 1, 2013.</w:t>
      </w:r>
      <w:r w:rsidR="003367DE">
        <w:rPr>
          <w:rFonts w:asciiTheme="majorHAnsi" w:hAnsiTheme="majorHAnsi" w:cstheme="majorHAnsi"/>
          <w:sz w:val="22"/>
          <w:szCs w:val="22"/>
        </w:rPr>
        <w:t xml:space="preserve"> </w:t>
      </w:r>
      <w:r w:rsidR="000A1533" w:rsidRPr="009203C6">
        <w:rPr>
          <w:rFonts w:asciiTheme="majorHAnsi" w:hAnsiTheme="majorHAnsi" w:cstheme="majorHAnsi"/>
          <w:sz w:val="22"/>
          <w:szCs w:val="22"/>
        </w:rPr>
        <w:t xml:space="preserve">The program </w:t>
      </w:r>
      <w:r w:rsidR="002D7ACB" w:rsidRPr="009203C6">
        <w:rPr>
          <w:rFonts w:asciiTheme="majorHAnsi" w:hAnsiTheme="majorHAnsi" w:cstheme="majorHAnsi"/>
          <w:sz w:val="22"/>
          <w:szCs w:val="22"/>
        </w:rPr>
        <w:t>end</w:t>
      </w:r>
      <w:r w:rsidR="00183832">
        <w:rPr>
          <w:rFonts w:asciiTheme="majorHAnsi" w:hAnsiTheme="majorHAnsi" w:cstheme="majorHAnsi"/>
          <w:sz w:val="22"/>
          <w:szCs w:val="22"/>
        </w:rPr>
        <w:t>s</w:t>
      </w:r>
      <w:r w:rsidR="000A1533" w:rsidRPr="009203C6">
        <w:rPr>
          <w:rFonts w:asciiTheme="majorHAnsi" w:hAnsiTheme="majorHAnsi" w:cstheme="majorHAnsi"/>
          <w:sz w:val="22"/>
          <w:szCs w:val="22"/>
        </w:rPr>
        <w:t xml:space="preserve"> June </w:t>
      </w:r>
      <w:r w:rsidR="002D7ACB" w:rsidRPr="009203C6">
        <w:rPr>
          <w:rFonts w:asciiTheme="majorHAnsi" w:hAnsiTheme="majorHAnsi" w:cstheme="majorHAnsi"/>
          <w:sz w:val="22"/>
          <w:szCs w:val="22"/>
        </w:rPr>
        <w:t>3</w:t>
      </w:r>
      <w:r w:rsidR="000A1533" w:rsidRPr="009203C6">
        <w:rPr>
          <w:rFonts w:asciiTheme="majorHAnsi" w:hAnsiTheme="majorHAnsi" w:cstheme="majorHAnsi"/>
          <w:sz w:val="22"/>
          <w:szCs w:val="22"/>
        </w:rPr>
        <w:t>0, 2019.</w:t>
      </w:r>
    </w:p>
    <w:p w14:paraId="6D888AC3" w14:textId="2A404E02" w:rsidR="002D7ACB" w:rsidRPr="009203C6" w:rsidRDefault="002D7ACB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FFD5D3E" w14:textId="7640E017" w:rsidR="002D7ACB" w:rsidRPr="00492495" w:rsidRDefault="002D7ACB" w:rsidP="0049434D">
      <w:pPr>
        <w:pStyle w:val="Default"/>
        <w:rPr>
          <w:rFonts w:asciiTheme="majorHAnsi" w:hAnsiTheme="majorHAnsi" w:cstheme="majorHAnsi"/>
          <w:i/>
          <w:sz w:val="22"/>
          <w:szCs w:val="22"/>
        </w:rPr>
      </w:pPr>
      <w:r w:rsidRPr="00492495">
        <w:rPr>
          <w:rFonts w:asciiTheme="majorHAnsi" w:hAnsiTheme="majorHAnsi" w:cstheme="majorHAnsi"/>
          <w:i/>
          <w:sz w:val="22"/>
          <w:szCs w:val="22"/>
        </w:rPr>
        <w:t xml:space="preserve">At </w:t>
      </w:r>
      <w:r w:rsidR="00492495">
        <w:rPr>
          <w:rFonts w:asciiTheme="majorHAnsi" w:hAnsiTheme="majorHAnsi" w:cstheme="majorHAnsi"/>
          <w:i/>
          <w:sz w:val="22"/>
          <w:szCs w:val="22"/>
        </w:rPr>
        <w:t>its</w:t>
      </w:r>
      <w:r w:rsidRPr="00492495">
        <w:rPr>
          <w:rFonts w:asciiTheme="majorHAnsi" w:hAnsiTheme="majorHAnsi" w:cstheme="majorHAnsi"/>
          <w:i/>
          <w:sz w:val="22"/>
          <w:szCs w:val="22"/>
        </w:rPr>
        <w:t xml:space="preserve"> October 2018 meeting, </w:t>
      </w:r>
      <w:r w:rsidR="00492495" w:rsidRPr="00492495">
        <w:rPr>
          <w:rFonts w:asciiTheme="majorHAnsi" w:hAnsiTheme="majorHAnsi" w:cstheme="majorHAnsi"/>
          <w:i/>
          <w:sz w:val="22"/>
          <w:szCs w:val="22"/>
        </w:rPr>
        <w:t xml:space="preserve">the Ohio University Board of Trustees </w:t>
      </w:r>
      <w:r w:rsidRPr="00492495">
        <w:rPr>
          <w:rFonts w:asciiTheme="majorHAnsi" w:hAnsiTheme="majorHAnsi" w:cstheme="majorHAnsi"/>
          <w:i/>
          <w:sz w:val="22"/>
          <w:szCs w:val="22"/>
        </w:rPr>
        <w:t>approved expan</w:t>
      </w:r>
      <w:r w:rsidR="003367DE">
        <w:rPr>
          <w:rFonts w:asciiTheme="majorHAnsi" w:hAnsiTheme="majorHAnsi" w:cstheme="majorHAnsi"/>
          <w:i/>
          <w:sz w:val="22"/>
          <w:szCs w:val="22"/>
        </w:rPr>
        <w:t>ding</w:t>
      </w:r>
      <w:r w:rsidRPr="00492495">
        <w:rPr>
          <w:rFonts w:asciiTheme="majorHAnsi" w:hAnsiTheme="majorHAnsi" w:cstheme="majorHAnsi"/>
          <w:i/>
          <w:sz w:val="22"/>
          <w:szCs w:val="22"/>
        </w:rPr>
        <w:t xml:space="preserve"> the OHIO Match™ program to </w:t>
      </w:r>
      <w:r w:rsidR="003367DE">
        <w:rPr>
          <w:rFonts w:asciiTheme="majorHAnsi" w:hAnsiTheme="majorHAnsi" w:cstheme="majorHAnsi"/>
          <w:i/>
          <w:sz w:val="22"/>
          <w:szCs w:val="22"/>
        </w:rPr>
        <w:t>impact</w:t>
      </w:r>
      <w:r w:rsidRPr="00492495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6A2104">
        <w:rPr>
          <w:rFonts w:asciiTheme="majorHAnsi" w:hAnsiTheme="majorHAnsi" w:cstheme="majorHAnsi"/>
          <w:i/>
          <w:sz w:val="22"/>
          <w:szCs w:val="22"/>
        </w:rPr>
        <w:t xml:space="preserve">a </w:t>
      </w:r>
      <w:r w:rsidRPr="00492495">
        <w:rPr>
          <w:rFonts w:asciiTheme="majorHAnsi" w:hAnsiTheme="majorHAnsi" w:cstheme="majorHAnsi"/>
          <w:i/>
          <w:sz w:val="22"/>
          <w:szCs w:val="22"/>
        </w:rPr>
        <w:t xml:space="preserve">greater breadth of Ohio University scholarship endowments. The following criteria for matching are </w:t>
      </w:r>
      <w:r w:rsidRPr="003367DE">
        <w:rPr>
          <w:rFonts w:asciiTheme="majorHAnsi" w:hAnsiTheme="majorHAnsi" w:cstheme="majorHAnsi"/>
          <w:b/>
          <w:i/>
          <w:sz w:val="22"/>
          <w:szCs w:val="22"/>
        </w:rPr>
        <w:t>effective July 1, 2018 through June 30, 2019</w:t>
      </w:r>
      <w:r w:rsidRPr="00492495">
        <w:rPr>
          <w:rFonts w:asciiTheme="majorHAnsi" w:hAnsiTheme="majorHAnsi" w:cstheme="majorHAnsi"/>
          <w:i/>
          <w:sz w:val="22"/>
          <w:szCs w:val="22"/>
        </w:rPr>
        <w:t>.</w:t>
      </w:r>
    </w:p>
    <w:p w14:paraId="54FD2F04" w14:textId="77777777" w:rsidR="002D7ACB" w:rsidRPr="009203C6" w:rsidRDefault="002D7ACB" w:rsidP="0049434D">
      <w:pPr>
        <w:pStyle w:val="Default"/>
        <w:rPr>
          <w:rFonts w:asciiTheme="majorHAnsi" w:hAnsiTheme="majorHAnsi" w:cstheme="majorHAnsi"/>
          <w:bCs/>
          <w:sz w:val="28"/>
          <w:szCs w:val="28"/>
        </w:rPr>
      </w:pPr>
    </w:p>
    <w:p w14:paraId="03A83B48" w14:textId="509CA90D" w:rsidR="009E3153" w:rsidRPr="009203C6" w:rsidRDefault="002D7ACB" w:rsidP="0049434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9203C6">
        <w:rPr>
          <w:rFonts w:asciiTheme="majorHAnsi" w:hAnsiTheme="majorHAnsi" w:cstheme="majorHAnsi"/>
          <w:bCs/>
          <w:sz w:val="28"/>
          <w:szCs w:val="28"/>
        </w:rPr>
        <w:t xml:space="preserve">UPDATED </w:t>
      </w:r>
      <w:r w:rsidR="00CE3086" w:rsidRPr="009203C6">
        <w:rPr>
          <w:rFonts w:asciiTheme="majorHAnsi" w:hAnsiTheme="majorHAnsi" w:cstheme="majorHAnsi"/>
          <w:bCs/>
          <w:sz w:val="28"/>
          <w:szCs w:val="28"/>
        </w:rPr>
        <w:t>OHIO Match</w:t>
      </w:r>
      <w:r w:rsidR="00477835" w:rsidRPr="009203C6">
        <w:rPr>
          <w:rFonts w:asciiTheme="majorHAnsi" w:hAnsiTheme="majorHAnsi" w:cstheme="majorHAnsi"/>
          <w:bCs/>
          <w:sz w:val="28"/>
          <w:szCs w:val="28"/>
        </w:rPr>
        <w:t>™</w:t>
      </w:r>
      <w:r w:rsidR="00CE3086" w:rsidRPr="009203C6">
        <w:rPr>
          <w:rFonts w:asciiTheme="majorHAnsi" w:hAnsiTheme="majorHAnsi" w:cstheme="majorHAnsi"/>
          <w:bCs/>
          <w:sz w:val="28"/>
          <w:szCs w:val="28"/>
        </w:rPr>
        <w:t xml:space="preserve">: </w:t>
      </w:r>
      <w:r w:rsidR="009E3153" w:rsidRPr="009203C6">
        <w:rPr>
          <w:rFonts w:asciiTheme="majorHAnsi" w:hAnsiTheme="majorHAnsi" w:cstheme="majorHAnsi"/>
          <w:bCs/>
          <w:sz w:val="28"/>
          <w:szCs w:val="28"/>
        </w:rPr>
        <w:t>Undergraduate Scholarship Match Criteria</w:t>
      </w:r>
      <w:r w:rsidR="001D404E" w:rsidRPr="009203C6">
        <w:rPr>
          <w:rFonts w:asciiTheme="majorHAnsi" w:hAnsiTheme="majorHAnsi" w:cstheme="majorHAnsi"/>
          <w:bCs/>
          <w:sz w:val="28"/>
          <w:szCs w:val="28"/>
        </w:rPr>
        <w:t>*</w:t>
      </w:r>
    </w:p>
    <w:p w14:paraId="393E7CFA" w14:textId="6031E08E" w:rsidR="009203C6" w:rsidRPr="009203C6" w:rsidRDefault="009203C6" w:rsidP="009203C6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N</w:t>
      </w:r>
      <w:r w:rsidRPr="009203C6">
        <w:rPr>
          <w:rFonts w:asciiTheme="majorHAnsi" w:hAnsiTheme="majorHAnsi" w:cstheme="majorHAnsi"/>
          <w:b/>
          <w:sz w:val="22"/>
          <w:szCs w:val="22"/>
        </w:rPr>
        <w:t>ew</w:t>
      </w:r>
      <w:r>
        <w:rPr>
          <w:rFonts w:asciiTheme="majorHAnsi" w:hAnsiTheme="majorHAnsi" w:cstheme="majorHAnsi"/>
          <w:sz w:val="22"/>
          <w:szCs w:val="22"/>
        </w:rPr>
        <w:t xml:space="preserve"> gifts/commitments (</w:t>
      </w:r>
      <w:r w:rsidRPr="00492495">
        <w:rPr>
          <w:rFonts w:asciiTheme="majorHAnsi" w:hAnsiTheme="majorHAnsi" w:cstheme="majorHAnsi"/>
          <w:i/>
          <w:sz w:val="22"/>
          <w:szCs w:val="22"/>
        </w:rPr>
        <w:t>retroactive to July 1, 2018</w:t>
      </w:r>
      <w:r>
        <w:rPr>
          <w:rFonts w:asciiTheme="majorHAnsi" w:hAnsiTheme="majorHAnsi" w:cstheme="majorHAnsi"/>
          <w:sz w:val="22"/>
          <w:szCs w:val="22"/>
        </w:rPr>
        <w:t>);</w:t>
      </w:r>
    </w:p>
    <w:p w14:paraId="30008471" w14:textId="6CD8A56A" w:rsidR="009203C6" w:rsidRDefault="009203C6" w:rsidP="009203C6">
      <w:pPr>
        <w:pStyle w:val="Default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New scholarship accounts can be created for gift</w:t>
      </w:r>
      <w:r w:rsidR="006063CB">
        <w:rPr>
          <w:rFonts w:asciiTheme="majorHAnsi" w:hAnsiTheme="majorHAnsi" w:cstheme="majorHAnsi"/>
          <w:sz w:val="22"/>
          <w:szCs w:val="22"/>
        </w:rPr>
        <w:t>s/</w:t>
      </w:r>
      <w:r w:rsidRPr="009203C6">
        <w:rPr>
          <w:rFonts w:asciiTheme="majorHAnsi" w:hAnsiTheme="majorHAnsi" w:cstheme="majorHAnsi"/>
          <w:sz w:val="22"/>
          <w:szCs w:val="22"/>
        </w:rPr>
        <w:t xml:space="preserve">commitments of $25,000 or more </w:t>
      </w:r>
      <w:r w:rsidR="005B170A">
        <w:rPr>
          <w:rFonts w:asciiTheme="majorHAnsi" w:hAnsiTheme="majorHAnsi" w:cstheme="majorHAnsi"/>
          <w:sz w:val="22"/>
          <w:szCs w:val="22"/>
        </w:rPr>
        <w:t>—$15,000 for regional campus</w:t>
      </w:r>
      <w:r w:rsidR="002867C8">
        <w:rPr>
          <w:rFonts w:asciiTheme="majorHAnsi" w:hAnsiTheme="majorHAnsi" w:cstheme="majorHAnsi"/>
          <w:sz w:val="22"/>
          <w:szCs w:val="22"/>
        </w:rPr>
        <w:t xml:space="preserve">es </w:t>
      </w:r>
      <w:r w:rsidR="005B170A">
        <w:rPr>
          <w:rFonts w:asciiTheme="majorHAnsi" w:hAnsiTheme="majorHAnsi" w:cstheme="majorHAnsi"/>
          <w:sz w:val="22"/>
          <w:szCs w:val="22"/>
        </w:rPr>
        <w:t>—</w:t>
      </w:r>
      <w:r w:rsidR="002867C8">
        <w:rPr>
          <w:rFonts w:asciiTheme="majorHAnsi" w:hAnsiTheme="majorHAnsi" w:cstheme="majorHAnsi"/>
          <w:sz w:val="22"/>
          <w:szCs w:val="22"/>
        </w:rPr>
        <w:t xml:space="preserve"> </w:t>
      </w:r>
      <w:r w:rsidRPr="009203C6">
        <w:rPr>
          <w:rFonts w:asciiTheme="majorHAnsi" w:hAnsiTheme="majorHAnsi" w:cstheme="majorHAnsi"/>
          <w:sz w:val="22"/>
          <w:szCs w:val="22"/>
        </w:rPr>
        <w:t>(payable over five years).</w:t>
      </w:r>
    </w:p>
    <w:p w14:paraId="4AA6F9E1" w14:textId="3FB89FB7" w:rsidR="00BC0399" w:rsidRPr="00BC0399" w:rsidRDefault="009203C6" w:rsidP="00BC0399">
      <w:pPr>
        <w:pStyle w:val="Default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New gifts/commitments of ANY amount to existing, eligible </w:t>
      </w:r>
      <w:r w:rsidR="00BC0399">
        <w:rPr>
          <w:rFonts w:asciiTheme="majorHAnsi" w:hAnsiTheme="majorHAnsi" w:cstheme="majorHAnsi"/>
          <w:sz w:val="22"/>
          <w:szCs w:val="22"/>
        </w:rPr>
        <w:t>accounts</w:t>
      </w:r>
      <w:r>
        <w:rPr>
          <w:rFonts w:asciiTheme="majorHAnsi" w:hAnsiTheme="majorHAnsi" w:cstheme="majorHAnsi"/>
          <w:sz w:val="22"/>
          <w:szCs w:val="22"/>
        </w:rPr>
        <w:t>;</w:t>
      </w:r>
    </w:p>
    <w:p w14:paraId="4D54C952" w14:textId="17FE0B9E" w:rsidR="007B626D" w:rsidRPr="009203C6" w:rsidRDefault="001D404E" w:rsidP="0049434D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D</w:t>
      </w:r>
      <w:r w:rsidR="009E3153" w:rsidRPr="009203C6">
        <w:rPr>
          <w:rFonts w:asciiTheme="majorHAnsi" w:hAnsiTheme="majorHAnsi" w:cstheme="majorHAnsi"/>
          <w:sz w:val="22"/>
          <w:szCs w:val="22"/>
        </w:rPr>
        <w:t>esignated for undergraduat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e students </w:t>
      </w:r>
      <w:r w:rsidR="002D7ACB" w:rsidRPr="009203C6">
        <w:rPr>
          <w:rFonts w:asciiTheme="majorHAnsi" w:hAnsiTheme="majorHAnsi" w:cstheme="majorHAnsi"/>
          <w:sz w:val="22"/>
          <w:szCs w:val="22"/>
        </w:rPr>
        <w:t xml:space="preserve">studying </w:t>
      </w:r>
      <w:r w:rsidR="007B626D" w:rsidRPr="009203C6">
        <w:rPr>
          <w:rFonts w:asciiTheme="majorHAnsi" w:hAnsiTheme="majorHAnsi" w:cstheme="majorHAnsi"/>
          <w:sz w:val="22"/>
          <w:szCs w:val="22"/>
        </w:rPr>
        <w:t>on the Athens</w:t>
      </w:r>
      <w:r w:rsidR="005B170A">
        <w:rPr>
          <w:rFonts w:asciiTheme="majorHAnsi" w:hAnsiTheme="majorHAnsi" w:cstheme="majorHAnsi"/>
          <w:sz w:val="22"/>
          <w:szCs w:val="22"/>
        </w:rPr>
        <w:t>, Chillicothe, Eastern, Lancaster, Southern, or Zanesville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 Campus</w:t>
      </w:r>
      <w:r w:rsidR="005B170A">
        <w:rPr>
          <w:rFonts w:asciiTheme="majorHAnsi" w:hAnsiTheme="majorHAnsi" w:cstheme="majorHAnsi"/>
          <w:sz w:val="22"/>
          <w:szCs w:val="22"/>
        </w:rPr>
        <w:t>es</w:t>
      </w:r>
      <w:r w:rsidR="007B626D" w:rsidRPr="009203C6">
        <w:rPr>
          <w:rFonts w:asciiTheme="majorHAnsi" w:hAnsiTheme="majorHAnsi" w:cstheme="majorHAnsi"/>
          <w:sz w:val="22"/>
          <w:szCs w:val="22"/>
        </w:rPr>
        <w:t>;</w:t>
      </w:r>
    </w:p>
    <w:p w14:paraId="67F6DE65" w14:textId="6F9E3032" w:rsidR="009E3153" w:rsidRPr="009203C6" w:rsidRDefault="002D7ACB" w:rsidP="0049434D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Awarded b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ased on merit, </w:t>
      </w:r>
      <w:r w:rsidRPr="009203C6">
        <w:rPr>
          <w:rFonts w:asciiTheme="majorHAnsi" w:hAnsiTheme="majorHAnsi" w:cstheme="majorHAnsi"/>
          <w:sz w:val="22"/>
          <w:szCs w:val="22"/>
        </w:rPr>
        <w:t xml:space="preserve">talent, </w:t>
      </w:r>
      <w:r w:rsidR="00F544C1">
        <w:rPr>
          <w:rFonts w:asciiTheme="majorHAnsi" w:hAnsiTheme="majorHAnsi" w:cstheme="majorHAnsi"/>
          <w:sz w:val="22"/>
          <w:szCs w:val="22"/>
        </w:rPr>
        <w:t>and/</w:t>
      </w:r>
      <w:r w:rsidRPr="009203C6">
        <w:rPr>
          <w:rFonts w:asciiTheme="majorHAnsi" w:hAnsiTheme="majorHAnsi" w:cstheme="majorHAnsi"/>
          <w:sz w:val="22"/>
          <w:szCs w:val="22"/>
        </w:rPr>
        <w:t xml:space="preserve">or 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need as defined by the University; 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BEAD19" w14:textId="10E9B945" w:rsidR="009E3153" w:rsidRPr="009203C6" w:rsidRDefault="002D7ACB" w:rsidP="0049434D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Designated as e</w:t>
      </w:r>
      <w:r w:rsidR="001D404E" w:rsidRPr="009203C6">
        <w:rPr>
          <w:rFonts w:asciiTheme="majorHAnsi" w:hAnsiTheme="majorHAnsi" w:cstheme="majorHAnsi"/>
          <w:sz w:val="22"/>
          <w:szCs w:val="22"/>
        </w:rPr>
        <w:t>ndowed, renewable scholarships</w:t>
      </w:r>
      <w:r w:rsidR="007B626D" w:rsidRPr="009203C6">
        <w:rPr>
          <w:rFonts w:asciiTheme="majorHAnsi" w:hAnsiTheme="majorHAnsi" w:cstheme="majorHAnsi"/>
          <w:sz w:val="22"/>
          <w:szCs w:val="22"/>
        </w:rPr>
        <w:t>;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 </w:t>
      </w:r>
      <w:r w:rsidR="00FE7E4F" w:rsidRPr="009203C6">
        <w:rPr>
          <w:rFonts w:asciiTheme="majorHAnsi" w:hAnsiTheme="majorHAnsi" w:cstheme="majorHAnsi"/>
          <w:sz w:val="22"/>
          <w:szCs w:val="22"/>
        </w:rPr>
        <w:t>and</w:t>
      </w:r>
    </w:p>
    <w:p w14:paraId="1DB2F0BE" w14:textId="6C8AB544" w:rsidR="007B626D" w:rsidRPr="009203C6" w:rsidRDefault="002D7ACB" w:rsidP="0049434D">
      <w:pPr>
        <w:pStyle w:val="Default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 xml:space="preserve">Designated </w:t>
      </w:r>
      <w:r w:rsidR="001D404E" w:rsidRPr="009203C6">
        <w:rPr>
          <w:rFonts w:asciiTheme="majorHAnsi" w:hAnsiTheme="majorHAnsi" w:cstheme="majorHAnsi"/>
          <w:sz w:val="22"/>
          <w:szCs w:val="22"/>
        </w:rPr>
        <w:t>University</w:t>
      </w:r>
      <w:r w:rsidR="007B626D" w:rsidRPr="009203C6">
        <w:rPr>
          <w:rFonts w:asciiTheme="majorHAnsi" w:hAnsiTheme="majorHAnsi" w:cstheme="majorHAnsi"/>
          <w:sz w:val="22"/>
          <w:szCs w:val="22"/>
        </w:rPr>
        <w:t>-wide</w:t>
      </w:r>
      <w:r w:rsidR="005B170A">
        <w:rPr>
          <w:rFonts w:asciiTheme="majorHAnsi" w:hAnsiTheme="majorHAnsi" w:cstheme="majorHAnsi"/>
          <w:sz w:val="22"/>
          <w:szCs w:val="22"/>
        </w:rPr>
        <w:t>, Campus-wide,</w:t>
      </w:r>
      <w:r w:rsidRPr="009203C6">
        <w:rPr>
          <w:rFonts w:asciiTheme="majorHAnsi" w:hAnsiTheme="majorHAnsi" w:cstheme="majorHAnsi"/>
          <w:sz w:val="22"/>
          <w:szCs w:val="22"/>
        </w:rPr>
        <w:t xml:space="preserve"> or </w:t>
      </w:r>
      <w:r w:rsidR="007B626D" w:rsidRPr="009203C6">
        <w:rPr>
          <w:rFonts w:asciiTheme="majorHAnsi" w:hAnsiTheme="majorHAnsi" w:cstheme="majorHAnsi"/>
          <w:sz w:val="22"/>
          <w:szCs w:val="22"/>
        </w:rPr>
        <w:t>College-wide:</w:t>
      </w:r>
    </w:p>
    <w:p w14:paraId="05BA02AC" w14:textId="2C1DBD9F" w:rsidR="002D7ACB" w:rsidRPr="005976BC" w:rsidRDefault="009203C6" w:rsidP="002D7ACB">
      <w:pPr>
        <w:pStyle w:val="Default"/>
        <w:numPr>
          <w:ilvl w:val="1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May be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designate</w:t>
      </w:r>
      <w:r w:rsidRPr="005976BC">
        <w:rPr>
          <w:rFonts w:asciiTheme="majorHAnsi" w:hAnsiTheme="majorHAnsi" w:cstheme="majorHAnsi"/>
          <w:b/>
          <w:sz w:val="22"/>
          <w:szCs w:val="22"/>
        </w:rPr>
        <w:t>d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063CB">
        <w:rPr>
          <w:rFonts w:asciiTheme="majorHAnsi" w:hAnsiTheme="majorHAnsi" w:cstheme="majorHAnsi"/>
          <w:b/>
          <w:sz w:val="22"/>
          <w:szCs w:val="22"/>
        </w:rPr>
        <w:t>with</w:t>
      </w:r>
      <w:r w:rsidRPr="005976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>“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 xml:space="preserve">first 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>preference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”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5976BC">
        <w:rPr>
          <w:rFonts w:asciiTheme="majorHAnsi" w:hAnsiTheme="majorHAnsi" w:cstheme="majorHAnsi"/>
          <w:b/>
          <w:sz w:val="22"/>
          <w:szCs w:val="22"/>
        </w:rPr>
        <w:t xml:space="preserve">to 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be 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given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to students studying in a specific, department, school</w:t>
      </w:r>
      <w:r w:rsidR="006063CB">
        <w:rPr>
          <w:rFonts w:asciiTheme="majorHAnsi" w:hAnsiTheme="majorHAnsi" w:cstheme="majorHAnsi"/>
          <w:b/>
          <w:sz w:val="22"/>
          <w:szCs w:val="22"/>
        </w:rPr>
        <w:t>,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or</w:t>
      </w:r>
      <w:r w:rsidR="00C31D42">
        <w:rPr>
          <w:rFonts w:asciiTheme="majorHAnsi" w:hAnsiTheme="majorHAnsi" w:cstheme="majorHAnsi"/>
          <w:b/>
          <w:sz w:val="22"/>
          <w:szCs w:val="22"/>
        </w:rPr>
        <w:t xml:space="preserve"> degree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program</w:t>
      </w:r>
      <w:r w:rsidR="00E420F0" w:rsidRPr="00273A0A">
        <w:rPr>
          <w:rFonts w:asciiTheme="majorHAnsi" w:hAnsiTheme="majorHAnsi" w:cstheme="majorHAnsi"/>
          <w:sz w:val="22"/>
          <w:szCs w:val="22"/>
        </w:rPr>
        <w:t xml:space="preserve">; </w:t>
      </w:r>
      <w:r w:rsidR="00E420F0" w:rsidRPr="00273A0A">
        <w:rPr>
          <w:rFonts w:asciiTheme="majorHAnsi" w:hAnsiTheme="majorHAnsi" w:cstheme="majorHAnsi"/>
          <w:b/>
          <w:sz w:val="22"/>
          <w:szCs w:val="22"/>
        </w:rPr>
        <w:t>OR</w:t>
      </w:r>
    </w:p>
    <w:p w14:paraId="59D1D928" w14:textId="429DDA2D" w:rsidR="002D7ACB" w:rsidRPr="005976BC" w:rsidRDefault="00E420F0" w:rsidP="002D7ACB">
      <w:pPr>
        <w:pStyle w:val="Default"/>
        <w:numPr>
          <w:ilvl w:val="1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 single, o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ther 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 xml:space="preserve">requested “first-preference” 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>restriction (e.g. geographic) may be considered on a case-b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y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>-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c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>ase basis</w:t>
      </w:r>
      <w:r w:rsidR="00C31D4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if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an </w:t>
      </w:r>
      <w:r w:rsidR="00F544C1">
        <w:rPr>
          <w:rFonts w:asciiTheme="majorHAnsi" w:hAnsiTheme="majorHAnsi" w:cstheme="majorHAnsi"/>
          <w:b/>
          <w:sz w:val="22"/>
          <w:szCs w:val="22"/>
        </w:rPr>
        <w:t>ample</w:t>
      </w:r>
      <w:r w:rsidR="002D7ACB" w:rsidRPr="005976BC">
        <w:rPr>
          <w:rFonts w:asciiTheme="majorHAnsi" w:hAnsiTheme="majorHAnsi" w:cstheme="majorHAnsi"/>
          <w:b/>
          <w:sz w:val="22"/>
          <w:szCs w:val="22"/>
        </w:rPr>
        <w:t xml:space="preserve"> number of eligible students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 xml:space="preserve"> can be </w:t>
      </w:r>
      <w:r w:rsidR="00F544C1">
        <w:rPr>
          <w:rFonts w:asciiTheme="majorHAnsi" w:hAnsiTheme="majorHAnsi" w:cstheme="majorHAnsi"/>
          <w:b/>
          <w:sz w:val="22"/>
          <w:szCs w:val="22"/>
        </w:rPr>
        <w:t xml:space="preserve">easily 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identified</w:t>
      </w:r>
      <w:r w:rsidR="00C31D42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31D42" w:rsidRPr="00611A64">
        <w:rPr>
          <w:rFonts w:asciiTheme="majorHAnsi" w:hAnsiTheme="majorHAnsi" w:cstheme="majorHAnsi"/>
          <w:sz w:val="22"/>
          <w:szCs w:val="22"/>
        </w:rPr>
        <w:t>(</w:t>
      </w:r>
      <w:r w:rsidR="00C31D42" w:rsidRPr="00611A64">
        <w:rPr>
          <w:rFonts w:asciiTheme="majorHAnsi" w:hAnsiTheme="majorHAnsi" w:cstheme="majorHAnsi"/>
          <w:i/>
          <w:sz w:val="22"/>
          <w:szCs w:val="22"/>
        </w:rPr>
        <w:t>pre-approval by the Gift Administration is required</w:t>
      </w:r>
      <w:r w:rsidR="00C31D42" w:rsidRPr="00611A64">
        <w:rPr>
          <w:rFonts w:asciiTheme="majorHAnsi" w:hAnsiTheme="majorHAnsi" w:cstheme="majorHAnsi"/>
          <w:sz w:val="22"/>
          <w:szCs w:val="22"/>
        </w:rPr>
        <w:t>)</w:t>
      </w:r>
      <w:r w:rsidR="008F448E" w:rsidRPr="005976BC">
        <w:rPr>
          <w:rFonts w:asciiTheme="majorHAnsi" w:hAnsiTheme="majorHAnsi" w:cstheme="majorHAnsi"/>
          <w:b/>
          <w:sz w:val="22"/>
          <w:szCs w:val="22"/>
        </w:rPr>
        <w:t>.</w:t>
      </w:r>
    </w:p>
    <w:p w14:paraId="0E3AB283" w14:textId="77777777" w:rsidR="009E3153" w:rsidRPr="009203C6" w:rsidRDefault="009E3153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CDF098D" w14:textId="287B8844" w:rsidR="009E3153" w:rsidRPr="009203C6" w:rsidRDefault="00CE3086" w:rsidP="0049434D">
      <w:pPr>
        <w:pStyle w:val="Default"/>
        <w:rPr>
          <w:rFonts w:asciiTheme="majorHAnsi" w:hAnsiTheme="majorHAnsi" w:cstheme="majorHAnsi"/>
          <w:sz w:val="28"/>
          <w:szCs w:val="28"/>
        </w:rPr>
      </w:pPr>
      <w:r w:rsidRPr="009203C6">
        <w:rPr>
          <w:rFonts w:asciiTheme="majorHAnsi" w:hAnsiTheme="majorHAnsi" w:cstheme="majorHAnsi"/>
          <w:bCs/>
          <w:sz w:val="28"/>
          <w:szCs w:val="28"/>
        </w:rPr>
        <w:t xml:space="preserve">The OHIO Match: </w:t>
      </w:r>
      <w:r w:rsidR="009E3153" w:rsidRPr="009203C6">
        <w:rPr>
          <w:rFonts w:asciiTheme="majorHAnsi" w:hAnsiTheme="majorHAnsi" w:cstheme="majorHAnsi"/>
          <w:bCs/>
          <w:sz w:val="28"/>
          <w:szCs w:val="28"/>
        </w:rPr>
        <w:t>Targeted Scholarship Match Criteria</w:t>
      </w:r>
      <w:r w:rsidR="007B626D" w:rsidRPr="009203C6">
        <w:rPr>
          <w:rFonts w:asciiTheme="majorHAnsi" w:hAnsiTheme="majorHAnsi" w:cstheme="majorHAnsi"/>
          <w:bCs/>
          <w:sz w:val="28"/>
          <w:szCs w:val="28"/>
        </w:rPr>
        <w:t>*</w:t>
      </w:r>
      <w:r w:rsidR="009E3153" w:rsidRPr="009203C6"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14:paraId="137E6EBF" w14:textId="16E55369" w:rsidR="009E3153" w:rsidRPr="009203C6" w:rsidRDefault="005976BC" w:rsidP="0049434D">
      <w:pPr>
        <w:pStyle w:val="Default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order to be eligible for matching, s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cholarships must be </w:t>
      </w:r>
      <w:r w:rsidR="006063CB">
        <w:rPr>
          <w:rFonts w:asciiTheme="majorHAnsi" w:hAnsiTheme="majorHAnsi" w:cstheme="majorHAnsi"/>
          <w:sz w:val="22"/>
          <w:szCs w:val="22"/>
        </w:rPr>
        <w:t>designated to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 one of the existing targeted scholarship programs</w:t>
      </w:r>
      <w:r w:rsidR="006063CB">
        <w:rPr>
          <w:rFonts w:asciiTheme="majorHAnsi" w:hAnsiTheme="majorHAnsi" w:cstheme="majorHAnsi"/>
          <w:sz w:val="22"/>
          <w:szCs w:val="22"/>
        </w:rPr>
        <w:t>—</w:t>
      </w:r>
      <w:r w:rsidRPr="009203C6">
        <w:rPr>
          <w:rFonts w:asciiTheme="majorHAnsi" w:hAnsiTheme="majorHAnsi" w:cstheme="majorHAnsi"/>
          <w:sz w:val="22"/>
          <w:szCs w:val="22"/>
        </w:rPr>
        <w:t>Urban Scholars, Appalachian Scholars, and Cutler Scholars</w:t>
      </w:r>
      <w:r w:rsidR="006063CB">
        <w:rPr>
          <w:rFonts w:asciiTheme="majorHAnsi" w:hAnsiTheme="majorHAnsi" w:cstheme="majorHAnsi"/>
          <w:sz w:val="22"/>
          <w:szCs w:val="22"/>
        </w:rPr>
        <w:t>—</w:t>
      </w:r>
      <w:r w:rsidR="009E3153" w:rsidRPr="009203C6">
        <w:rPr>
          <w:rFonts w:asciiTheme="majorHAnsi" w:hAnsiTheme="majorHAnsi" w:cstheme="majorHAnsi"/>
          <w:sz w:val="22"/>
          <w:szCs w:val="22"/>
        </w:rPr>
        <w:t>and must conform to the guidelines governing those programs at the time of inception.</w:t>
      </w:r>
    </w:p>
    <w:p w14:paraId="52921B0F" w14:textId="77777777" w:rsidR="00D355EE" w:rsidRPr="009203C6" w:rsidRDefault="00D355EE" w:rsidP="0049434D">
      <w:pPr>
        <w:rPr>
          <w:rFonts w:asciiTheme="majorHAnsi" w:hAnsiTheme="majorHAnsi" w:cstheme="majorHAnsi"/>
        </w:rPr>
      </w:pPr>
    </w:p>
    <w:p w14:paraId="4A24FE2B" w14:textId="22C06B86" w:rsidR="009E3153" w:rsidRPr="009203C6" w:rsidRDefault="00BC0399" w:rsidP="0049434D">
      <w:pPr>
        <w:pStyle w:val="Default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Modifications to existing accounts</w:t>
      </w:r>
    </w:p>
    <w:p w14:paraId="6F874F05" w14:textId="6D6DE2B9" w:rsidR="009E3153" w:rsidRPr="009203C6" w:rsidRDefault="009E3153" w:rsidP="0049434D">
      <w:pPr>
        <w:pStyle w:val="Default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 xml:space="preserve">Modifications </w:t>
      </w:r>
      <w:r w:rsidR="009203C6" w:rsidRPr="009203C6">
        <w:rPr>
          <w:rFonts w:asciiTheme="majorHAnsi" w:hAnsiTheme="majorHAnsi" w:cstheme="majorHAnsi"/>
          <w:sz w:val="22"/>
          <w:szCs w:val="22"/>
        </w:rPr>
        <w:t xml:space="preserve">to existing accounts </w:t>
      </w:r>
      <w:r w:rsidR="007B626D" w:rsidRPr="005976BC">
        <w:rPr>
          <w:rFonts w:asciiTheme="majorHAnsi" w:hAnsiTheme="majorHAnsi" w:cstheme="majorHAnsi"/>
          <w:b/>
          <w:sz w:val="22"/>
          <w:szCs w:val="22"/>
        </w:rPr>
        <w:t>may</w:t>
      </w:r>
      <w:r w:rsidR="007B626D" w:rsidRPr="009203C6">
        <w:rPr>
          <w:rFonts w:asciiTheme="majorHAnsi" w:hAnsiTheme="majorHAnsi" w:cstheme="majorHAnsi"/>
          <w:sz w:val="22"/>
          <w:szCs w:val="22"/>
        </w:rPr>
        <w:t xml:space="preserve"> </w:t>
      </w:r>
      <w:r w:rsidRPr="009203C6">
        <w:rPr>
          <w:rFonts w:asciiTheme="majorHAnsi" w:hAnsiTheme="majorHAnsi" w:cstheme="majorHAnsi"/>
          <w:sz w:val="22"/>
          <w:szCs w:val="22"/>
        </w:rPr>
        <w:t xml:space="preserve">be </w:t>
      </w:r>
      <w:r w:rsidR="009203C6" w:rsidRPr="009203C6">
        <w:rPr>
          <w:rFonts w:asciiTheme="majorHAnsi" w:hAnsiTheme="majorHAnsi" w:cstheme="majorHAnsi"/>
          <w:sz w:val="22"/>
          <w:szCs w:val="22"/>
        </w:rPr>
        <w:t>allowable upon review</w:t>
      </w:r>
      <w:r w:rsidRPr="009203C6">
        <w:rPr>
          <w:rFonts w:asciiTheme="majorHAnsi" w:hAnsiTheme="majorHAnsi" w:cstheme="majorHAnsi"/>
          <w:sz w:val="22"/>
          <w:szCs w:val="22"/>
        </w:rPr>
        <w:t xml:space="preserve"> </w:t>
      </w:r>
      <w:r w:rsidR="007B626D" w:rsidRPr="009203C6">
        <w:rPr>
          <w:rFonts w:asciiTheme="majorHAnsi" w:hAnsiTheme="majorHAnsi" w:cstheme="majorHAnsi"/>
          <w:sz w:val="22"/>
          <w:szCs w:val="22"/>
        </w:rPr>
        <w:t>if</w:t>
      </w:r>
      <w:r w:rsidRPr="009203C6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03A1108" w14:textId="4959B92D" w:rsidR="00BC0399" w:rsidRDefault="009203C6" w:rsidP="009203C6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9203C6">
        <w:rPr>
          <w:rFonts w:asciiTheme="majorHAnsi" w:hAnsiTheme="majorHAnsi" w:cstheme="majorHAnsi"/>
        </w:rPr>
        <w:t>“</w:t>
      </w:r>
      <w:r w:rsidR="00BC0399">
        <w:rPr>
          <w:rFonts w:asciiTheme="majorHAnsi" w:hAnsiTheme="majorHAnsi" w:cstheme="majorHAnsi"/>
        </w:rPr>
        <w:t>F</w:t>
      </w:r>
      <w:r w:rsidRPr="009203C6">
        <w:rPr>
          <w:rFonts w:asciiTheme="majorHAnsi" w:hAnsiTheme="majorHAnsi" w:cstheme="majorHAnsi"/>
        </w:rPr>
        <w:t>irst preference” language is used to qualify additional, approved restrictions (e.g. department, school, program, or geography)</w:t>
      </w:r>
      <w:r w:rsidR="00BC0399">
        <w:rPr>
          <w:rFonts w:asciiTheme="majorHAnsi" w:hAnsiTheme="majorHAnsi" w:cstheme="majorHAnsi"/>
        </w:rPr>
        <w:t>;</w:t>
      </w:r>
    </w:p>
    <w:p w14:paraId="1E1A4683" w14:textId="584FD9A2" w:rsidR="009203C6" w:rsidRPr="009203C6" w:rsidRDefault="00BC0399" w:rsidP="00BC0399">
      <w:pPr>
        <w:pStyle w:val="ListParagraph"/>
        <w:numPr>
          <w:ilvl w:val="2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a</w:t>
      </w:r>
      <w:r w:rsidR="009203C6" w:rsidRPr="009203C6">
        <w:rPr>
          <w:rFonts w:asciiTheme="majorHAnsi" w:hAnsiTheme="majorHAnsi" w:cstheme="majorHAnsi"/>
        </w:rPr>
        <w:t>dditional funds are being added to the account, that either:</w:t>
      </w:r>
    </w:p>
    <w:p w14:paraId="55E44429" w14:textId="025CF397" w:rsidR="009203C6" w:rsidRPr="009203C6" w:rsidRDefault="00BC0399" w:rsidP="00BC0399">
      <w:pPr>
        <w:pStyle w:val="ListParagraph"/>
        <w:numPr>
          <w:ilvl w:val="3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9203C6" w:rsidRPr="009203C6">
        <w:rPr>
          <w:rFonts w:asciiTheme="majorHAnsi" w:hAnsiTheme="majorHAnsi" w:cstheme="majorHAnsi"/>
        </w:rPr>
        <w:t>ring the contributed value to $25,000</w:t>
      </w:r>
    </w:p>
    <w:p w14:paraId="5DFFD4D6" w14:textId="2C4A4B9C" w:rsidR="009203C6" w:rsidRPr="006A2104" w:rsidRDefault="00BC0399" w:rsidP="00BC0399">
      <w:pPr>
        <w:pStyle w:val="ListParagraph"/>
        <w:numPr>
          <w:ilvl w:val="3"/>
          <w:numId w:val="3"/>
        </w:numPr>
        <w:rPr>
          <w:rFonts w:asciiTheme="majorHAnsi" w:hAnsiTheme="majorHAnsi" w:cs="Calibri (Headings)"/>
        </w:rPr>
      </w:pPr>
      <w:r w:rsidRPr="006A2104">
        <w:rPr>
          <w:rFonts w:asciiTheme="majorHAnsi" w:hAnsiTheme="majorHAnsi" w:cs="Calibri (Headings)"/>
        </w:rPr>
        <w:t xml:space="preserve">OR add a </w:t>
      </w:r>
      <w:r w:rsidR="009203C6" w:rsidRPr="006A2104">
        <w:rPr>
          <w:rFonts w:asciiTheme="majorHAnsi" w:hAnsiTheme="majorHAnsi" w:cs="Calibri (Headings)"/>
        </w:rPr>
        <w:t>new gift</w:t>
      </w:r>
      <w:r w:rsidRPr="006A2104">
        <w:rPr>
          <w:rFonts w:asciiTheme="majorHAnsi" w:hAnsiTheme="majorHAnsi" w:cs="Calibri (Headings)"/>
        </w:rPr>
        <w:t xml:space="preserve">/commitment of </w:t>
      </w:r>
      <w:r w:rsidR="009203C6" w:rsidRPr="006A2104">
        <w:rPr>
          <w:rFonts w:asciiTheme="majorHAnsi" w:hAnsiTheme="majorHAnsi" w:cs="Calibri (Headings)"/>
        </w:rPr>
        <w:t>$25,000</w:t>
      </w:r>
      <w:r w:rsidRPr="006A2104">
        <w:rPr>
          <w:rFonts w:asciiTheme="majorHAnsi" w:hAnsiTheme="majorHAnsi" w:cs="Calibri (Headings)"/>
        </w:rPr>
        <w:t xml:space="preserve"> or more</w:t>
      </w:r>
      <w:r w:rsidR="002867C8">
        <w:rPr>
          <w:rFonts w:asciiTheme="majorHAnsi" w:hAnsiTheme="majorHAnsi" w:cs="Calibri (Headings)"/>
        </w:rPr>
        <w:t xml:space="preserve"> ($15,000 for regional campuses)</w:t>
      </w:r>
    </w:p>
    <w:p w14:paraId="34EF67EE" w14:textId="42F99EEE" w:rsidR="009E3153" w:rsidRPr="009203C6" w:rsidRDefault="00BC0399" w:rsidP="0049434D">
      <w:pPr>
        <w:pStyle w:val="Default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 t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he account is deemed non-administrable by Donor </w:t>
      </w:r>
      <w:r w:rsidR="00477835" w:rsidRPr="009203C6">
        <w:rPr>
          <w:rFonts w:asciiTheme="majorHAnsi" w:hAnsiTheme="majorHAnsi" w:cstheme="majorHAnsi"/>
          <w:sz w:val="22"/>
          <w:szCs w:val="22"/>
        </w:rPr>
        <w:t>Engagement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 and Stewardship and/or Student Financial Aid as currently written;</w:t>
      </w:r>
    </w:p>
    <w:p w14:paraId="6412EEC9" w14:textId="67090D93" w:rsidR="00FE7E4F" w:rsidRPr="00C31D42" w:rsidRDefault="00BC0399" w:rsidP="0049434D">
      <w:pPr>
        <w:pStyle w:val="Default"/>
        <w:numPr>
          <w:ilvl w:val="1"/>
          <w:numId w:val="3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 t</w:t>
      </w:r>
      <w:r w:rsidR="009E3153" w:rsidRPr="009203C6">
        <w:rPr>
          <w:rFonts w:asciiTheme="majorHAnsi" w:hAnsiTheme="majorHAnsi" w:cstheme="majorHAnsi"/>
          <w:sz w:val="22"/>
          <w:szCs w:val="22"/>
        </w:rPr>
        <w:t>he only</w:t>
      </w:r>
      <w:r w:rsidR="00E648B7" w:rsidRPr="009203C6">
        <w:rPr>
          <w:rFonts w:asciiTheme="majorHAnsi" w:hAnsiTheme="majorHAnsi" w:cstheme="majorHAnsi"/>
          <w:sz w:val="22"/>
          <w:szCs w:val="22"/>
        </w:rPr>
        <w:t xml:space="preserve"> modification is </w:t>
      </w:r>
      <w:r w:rsidR="00FE7E4F" w:rsidRPr="009203C6">
        <w:rPr>
          <w:rFonts w:asciiTheme="majorHAnsi" w:hAnsiTheme="majorHAnsi" w:cstheme="majorHAnsi"/>
          <w:sz w:val="22"/>
          <w:szCs w:val="22"/>
        </w:rPr>
        <w:t>to</w:t>
      </w:r>
      <w:r w:rsidR="009E3153" w:rsidRPr="009203C6">
        <w:rPr>
          <w:rFonts w:asciiTheme="majorHAnsi" w:hAnsiTheme="majorHAnsi" w:cstheme="majorHAnsi"/>
          <w:sz w:val="22"/>
          <w:szCs w:val="22"/>
        </w:rPr>
        <w:t xml:space="preserve"> </w:t>
      </w:r>
      <w:r w:rsidR="00E648B7" w:rsidRPr="009203C6">
        <w:rPr>
          <w:rFonts w:asciiTheme="majorHAnsi" w:hAnsiTheme="majorHAnsi" w:cstheme="majorHAnsi"/>
          <w:sz w:val="22"/>
          <w:szCs w:val="22"/>
        </w:rPr>
        <w:t>a specified GPA.</w:t>
      </w:r>
      <w:r w:rsidR="00C31D42">
        <w:rPr>
          <w:rFonts w:asciiTheme="majorHAnsi" w:hAnsiTheme="majorHAnsi" w:cstheme="majorHAnsi"/>
          <w:sz w:val="22"/>
          <w:szCs w:val="22"/>
        </w:rPr>
        <w:br/>
      </w:r>
    </w:p>
    <w:p w14:paraId="3AE166D2" w14:textId="3D647DBD" w:rsidR="00E648B7" w:rsidRPr="009203C6" w:rsidRDefault="00E648B7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 xml:space="preserve"> For more information, please contact the Office of Development at (800) 592-3863.</w:t>
      </w:r>
    </w:p>
    <w:p w14:paraId="3546BEE6" w14:textId="77777777" w:rsidR="005976BC" w:rsidRDefault="005976BC" w:rsidP="005976BC">
      <w:pPr>
        <w:pStyle w:val="Default"/>
        <w:ind w:left="360"/>
        <w:rPr>
          <w:rFonts w:asciiTheme="majorHAnsi" w:hAnsiTheme="majorHAnsi" w:cstheme="majorHAnsi"/>
          <w:sz w:val="22"/>
          <w:szCs w:val="22"/>
        </w:rPr>
        <w:sectPr w:rsidR="005976BC" w:rsidSect="00C31D42">
          <w:pgSz w:w="12240" w:h="16340"/>
          <w:pgMar w:top="475" w:right="1080" w:bottom="1080" w:left="1440" w:header="720" w:footer="720" w:gutter="0"/>
          <w:cols w:space="720"/>
          <w:noEndnote/>
        </w:sectPr>
      </w:pPr>
    </w:p>
    <w:p w14:paraId="7198A816" w14:textId="389255F6" w:rsidR="00BC0399" w:rsidRPr="005976BC" w:rsidRDefault="002867C8" w:rsidP="005976BC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ATHENS CAMPUS</w:t>
      </w:r>
      <w:r w:rsidRPr="005976B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0779B">
        <w:rPr>
          <w:rFonts w:asciiTheme="majorHAnsi" w:hAnsiTheme="majorHAnsi" w:cstheme="majorHAnsi"/>
          <w:b/>
          <w:sz w:val="22"/>
          <w:szCs w:val="22"/>
        </w:rPr>
        <w:t xml:space="preserve">Match Eligible </w:t>
      </w:r>
      <w:r w:rsidR="005976BC" w:rsidRPr="005976BC">
        <w:rPr>
          <w:rFonts w:asciiTheme="majorHAnsi" w:hAnsiTheme="majorHAnsi" w:cstheme="majorHAnsi"/>
          <w:b/>
          <w:sz w:val="22"/>
          <w:szCs w:val="22"/>
        </w:rPr>
        <w:t xml:space="preserve">COLLEGES, SCHOOLS, </w:t>
      </w:r>
      <w:r w:rsidR="005976BC">
        <w:rPr>
          <w:rFonts w:asciiTheme="majorHAnsi" w:hAnsiTheme="majorHAnsi" w:cstheme="majorHAnsi"/>
          <w:b/>
          <w:sz w:val="22"/>
          <w:szCs w:val="22"/>
        </w:rPr>
        <w:t>&amp;</w:t>
      </w:r>
      <w:r w:rsidR="005976BC" w:rsidRPr="005976BC">
        <w:rPr>
          <w:rFonts w:asciiTheme="majorHAnsi" w:hAnsiTheme="majorHAnsi" w:cstheme="majorHAnsi"/>
          <w:b/>
          <w:sz w:val="22"/>
          <w:szCs w:val="22"/>
        </w:rPr>
        <w:t xml:space="preserve"> DEPARTMENTS</w:t>
      </w:r>
    </w:p>
    <w:p w14:paraId="08754C1B" w14:textId="77777777" w:rsidR="00BC0399" w:rsidRPr="005976BC" w:rsidRDefault="00BC0399" w:rsidP="005976BC">
      <w:pPr>
        <w:pStyle w:val="Default"/>
        <w:ind w:left="720" w:hanging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College of Arts and Sciences</w:t>
      </w:r>
    </w:p>
    <w:p w14:paraId="16F561E1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African American Studies</w:t>
      </w:r>
    </w:p>
    <w:p w14:paraId="5EB8C5CF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Biological Sciences</w:t>
      </w:r>
    </w:p>
    <w:p w14:paraId="71898491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Chemistry &amp; Biochemistry</w:t>
      </w:r>
    </w:p>
    <w:p w14:paraId="43AF9DDF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Classics &amp; World Religions</w:t>
      </w:r>
    </w:p>
    <w:p w14:paraId="43483CC4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Economics</w:t>
      </w:r>
    </w:p>
    <w:p w14:paraId="4550135A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English</w:t>
      </w:r>
    </w:p>
    <w:p w14:paraId="2C034FF8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Environmental &amp; Plant Biology</w:t>
      </w:r>
    </w:p>
    <w:p w14:paraId="161FA2A1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Geography</w:t>
      </w:r>
    </w:p>
    <w:p w14:paraId="56AEC38B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Geological Sciences</w:t>
      </w:r>
    </w:p>
    <w:p w14:paraId="09908929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History</w:t>
      </w:r>
    </w:p>
    <w:p w14:paraId="08EA9F52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Linguistics</w:t>
      </w:r>
    </w:p>
    <w:p w14:paraId="2BEED3D3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Mathematics</w:t>
      </w:r>
    </w:p>
    <w:p w14:paraId="044100A0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Modern Languages</w:t>
      </w:r>
    </w:p>
    <w:p w14:paraId="4CC1ABBA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Philosophy</w:t>
      </w:r>
    </w:p>
    <w:p w14:paraId="3CE5E1DA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Physics and Astronomy</w:t>
      </w:r>
    </w:p>
    <w:p w14:paraId="5A163585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Political Science</w:t>
      </w:r>
    </w:p>
    <w:p w14:paraId="21101A8A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Psychology</w:t>
      </w:r>
    </w:p>
    <w:p w14:paraId="01D6F734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Sociology &amp; Anthropology</w:t>
      </w:r>
    </w:p>
    <w:p w14:paraId="2ED63BEA" w14:textId="77777777" w:rsidR="00BC0399" w:rsidRPr="009203C6" w:rsidRDefault="00BC0399" w:rsidP="005976BC">
      <w:pPr>
        <w:ind w:left="720"/>
        <w:rPr>
          <w:rFonts w:asciiTheme="majorHAnsi" w:eastAsia="Times New Roman" w:hAnsiTheme="majorHAnsi" w:cstheme="majorHAnsi"/>
          <w:spacing w:val="0"/>
          <w:sz w:val="21"/>
          <w:szCs w:val="21"/>
          <w:lang w:eastAsia="en-US"/>
        </w:rPr>
      </w:pPr>
      <w:r w:rsidRPr="009203C6">
        <w:rPr>
          <w:rFonts w:asciiTheme="majorHAnsi" w:eastAsia="Times New Roman" w:hAnsiTheme="majorHAnsi" w:cstheme="majorHAnsi"/>
          <w:spacing w:val="0"/>
          <w:sz w:val="21"/>
          <w:szCs w:val="21"/>
          <w:bdr w:val="none" w:sz="0" w:space="0" w:color="auto" w:frame="1"/>
          <w:lang w:eastAsia="en-US"/>
        </w:rPr>
        <w:t>Women's, Gender &amp; Sexuality Studies</w:t>
      </w:r>
    </w:p>
    <w:p w14:paraId="7926E99F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6BC5586C" w14:textId="09DCDD6A" w:rsidR="00BC0399" w:rsidRPr="005976BC" w:rsidRDefault="00BC0399" w:rsidP="005976BC">
      <w:pPr>
        <w:pStyle w:val="Default"/>
        <w:ind w:left="720" w:hanging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College of Business</w:t>
      </w:r>
    </w:p>
    <w:p w14:paraId="0CDE24F8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Accountancy</w:t>
      </w:r>
    </w:p>
    <w:p w14:paraId="413CE9C7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Finance</w:t>
      </w:r>
    </w:p>
    <w:p w14:paraId="58E14D29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Management &amp; Strategic Leadership</w:t>
      </w:r>
    </w:p>
    <w:p w14:paraId="5659FDE0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Marketing</w:t>
      </w:r>
    </w:p>
    <w:p w14:paraId="556D6E5D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Management Information Systems</w:t>
      </w:r>
    </w:p>
    <w:p w14:paraId="622FC684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 xml:space="preserve">Sports Administration </w:t>
      </w:r>
    </w:p>
    <w:p w14:paraId="1131A9E7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5DDFA2E6" w14:textId="64DD68DA" w:rsidR="00BC0399" w:rsidRPr="005976BC" w:rsidRDefault="00BC0399" w:rsidP="005976BC">
      <w:pPr>
        <w:pStyle w:val="Default"/>
        <w:ind w:left="720" w:hanging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College of Fine Arts </w:t>
      </w:r>
    </w:p>
    <w:p w14:paraId="67792F70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Art + Design</w:t>
      </w:r>
    </w:p>
    <w:p w14:paraId="2F1DCC62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Music</w:t>
      </w:r>
    </w:p>
    <w:p w14:paraId="25368646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Interdisciplinary Art</w:t>
      </w:r>
    </w:p>
    <w:p w14:paraId="37C9E786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Dance, Film, and Theater</w:t>
      </w:r>
    </w:p>
    <w:p w14:paraId="394FC1B5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57C3CD14" w14:textId="39B1A843" w:rsidR="00BC0399" w:rsidRPr="005976BC" w:rsidRDefault="00BC0399" w:rsidP="005976BC">
      <w:pPr>
        <w:pStyle w:val="Default"/>
        <w:ind w:left="720" w:hanging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College of Health Sciences and Professions </w:t>
      </w:r>
    </w:p>
    <w:p w14:paraId="0D9F6A76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Applied Health Sciences and Wellness</w:t>
      </w:r>
    </w:p>
    <w:p w14:paraId="5D97B4E1" w14:textId="77777777" w:rsidR="005976BC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Interdisciplinary Health Studies</w:t>
      </w:r>
    </w:p>
    <w:p w14:paraId="30C71012" w14:textId="461A9104" w:rsidR="005976BC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Nursing</w:t>
      </w:r>
    </w:p>
    <w:p w14:paraId="52C83CCC" w14:textId="77777777" w:rsidR="005976BC" w:rsidRDefault="005976BC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14:paraId="0589DDDD" w14:textId="77777777" w:rsidR="005976BC" w:rsidRDefault="005976BC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</w:p>
    <w:p w14:paraId="3291C007" w14:textId="66D1467C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Rehabilitation and Communications Science</w:t>
      </w:r>
    </w:p>
    <w:p w14:paraId="1C809EBE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Social and Public Health</w:t>
      </w:r>
    </w:p>
    <w:p w14:paraId="43C71ED6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0D569C78" w14:textId="043A332E" w:rsidR="00BC0399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Honors Tutorial College </w:t>
      </w:r>
    </w:p>
    <w:p w14:paraId="48F6C8AA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7090D353" w14:textId="2D948336" w:rsid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Gladys W. and David H. Patton </w:t>
      </w:r>
    </w:p>
    <w:p w14:paraId="4EBD58F9" w14:textId="5FC0552F" w:rsidR="00BC0399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College of Education</w:t>
      </w:r>
    </w:p>
    <w:p w14:paraId="510B16D5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Counseling and Higher Education</w:t>
      </w:r>
    </w:p>
    <w:p w14:paraId="3177C312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Recreation and Sport Pedagogy</w:t>
      </w:r>
    </w:p>
    <w:p w14:paraId="5A834D46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Educational Studies</w:t>
      </w:r>
    </w:p>
    <w:p w14:paraId="7A38580F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Human and Consumer Sciences</w:t>
      </w:r>
    </w:p>
    <w:p w14:paraId="5E972B49" w14:textId="77777777" w:rsidR="00BC0399" w:rsidRPr="009203C6" w:rsidRDefault="00BC0399" w:rsidP="005976BC">
      <w:pPr>
        <w:pStyle w:val="Default"/>
        <w:ind w:left="72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 xml:space="preserve">Teacher Education </w:t>
      </w:r>
    </w:p>
    <w:p w14:paraId="3E7D0231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706FBE1A" w14:textId="33FAD9EB" w:rsid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Fritz J. and Dolores H. Russ </w:t>
      </w:r>
    </w:p>
    <w:p w14:paraId="686488D4" w14:textId="7F07FC87" w:rsidR="00BC0399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College of Engineering and Technology</w:t>
      </w:r>
    </w:p>
    <w:p w14:paraId="73E209C6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Aviation</w:t>
      </w:r>
    </w:p>
    <w:p w14:paraId="419DEC30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Chemical and Biomolecular Engineering</w:t>
      </w:r>
    </w:p>
    <w:p w14:paraId="627ABFA2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Civil Engineering</w:t>
      </w:r>
    </w:p>
    <w:p w14:paraId="1A168DA9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Engineering Technology and Management</w:t>
      </w:r>
    </w:p>
    <w:p w14:paraId="6E453DC5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Electrical Engineering and Computer Science</w:t>
      </w:r>
    </w:p>
    <w:p w14:paraId="715FA34D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Industrial and Systems Engineering</w:t>
      </w:r>
    </w:p>
    <w:p w14:paraId="7D08C12C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Mechanical Engineering</w:t>
      </w:r>
    </w:p>
    <w:p w14:paraId="5CC9E2DF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53E7AD18" w14:textId="0321467F" w:rsidR="00BC0399" w:rsidRPr="005976BC" w:rsidRDefault="00BC0399" w:rsidP="005976BC">
      <w:pPr>
        <w:pStyle w:val="Default"/>
        <w:ind w:left="1080" w:hanging="72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 xml:space="preserve">Scripps College of Communication </w:t>
      </w:r>
    </w:p>
    <w:p w14:paraId="79E85226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E.W. Scripps School of Journalism</w:t>
      </w:r>
    </w:p>
    <w:p w14:paraId="60A4733D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J.W. McClure School of Information and Telecommunication Systems</w:t>
      </w:r>
    </w:p>
    <w:p w14:paraId="1FE5D9AF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Communication Studies</w:t>
      </w:r>
    </w:p>
    <w:p w14:paraId="4FDCBEFA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Media Arts and Studies</w:t>
      </w:r>
    </w:p>
    <w:p w14:paraId="629763B2" w14:textId="77777777" w:rsidR="00BC0399" w:rsidRPr="009203C6" w:rsidRDefault="00BC0399" w:rsidP="005976BC">
      <w:pPr>
        <w:pStyle w:val="Default"/>
        <w:ind w:left="990" w:hanging="270"/>
        <w:rPr>
          <w:rFonts w:asciiTheme="majorHAnsi" w:hAnsiTheme="majorHAnsi" w:cstheme="majorHAnsi"/>
          <w:sz w:val="22"/>
          <w:szCs w:val="22"/>
        </w:rPr>
      </w:pPr>
      <w:r w:rsidRPr="009203C6">
        <w:rPr>
          <w:rFonts w:asciiTheme="majorHAnsi" w:hAnsiTheme="majorHAnsi" w:cstheme="majorHAnsi"/>
          <w:sz w:val="22"/>
          <w:szCs w:val="22"/>
        </w:rPr>
        <w:t>Visual Communication</w:t>
      </w:r>
    </w:p>
    <w:p w14:paraId="48117362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64D88C90" w14:textId="6C5D90A5" w:rsidR="00BC0399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University College</w:t>
      </w:r>
    </w:p>
    <w:p w14:paraId="60843F6E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6295558A" w14:textId="28A7D085" w:rsidR="00BC0399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</w:pPr>
      <w:r w:rsidRPr="005976BC">
        <w:rPr>
          <w:rFonts w:asciiTheme="majorHAnsi" w:hAnsiTheme="majorHAnsi" w:cstheme="majorHAnsi"/>
          <w:b/>
          <w:sz w:val="22"/>
          <w:szCs w:val="22"/>
        </w:rPr>
        <w:t>Center for International Studies</w:t>
      </w:r>
    </w:p>
    <w:p w14:paraId="2EA80346" w14:textId="77777777" w:rsidR="005976BC" w:rsidRPr="005976BC" w:rsidRDefault="005976BC" w:rsidP="005976BC">
      <w:pPr>
        <w:pStyle w:val="Default"/>
        <w:ind w:left="720" w:hanging="360"/>
        <w:rPr>
          <w:rFonts w:asciiTheme="majorHAnsi" w:hAnsiTheme="majorHAnsi" w:cstheme="majorHAnsi"/>
          <w:b/>
          <w:sz w:val="12"/>
          <w:szCs w:val="12"/>
        </w:rPr>
      </w:pPr>
    </w:p>
    <w:p w14:paraId="4E4C7B98" w14:textId="517CC50B" w:rsidR="005976BC" w:rsidRPr="005976BC" w:rsidRDefault="00BC0399" w:rsidP="005976BC">
      <w:pPr>
        <w:pStyle w:val="Default"/>
        <w:ind w:left="360"/>
        <w:rPr>
          <w:rFonts w:asciiTheme="majorHAnsi" w:hAnsiTheme="majorHAnsi" w:cstheme="majorHAnsi"/>
          <w:b/>
          <w:sz w:val="22"/>
          <w:szCs w:val="22"/>
        </w:rPr>
        <w:sectPr w:rsidR="005976BC" w:rsidRPr="005976BC" w:rsidSect="005976BC">
          <w:type w:val="continuous"/>
          <w:pgSz w:w="12240" w:h="16340"/>
          <w:pgMar w:top="1440" w:right="1440" w:bottom="720" w:left="1440" w:header="720" w:footer="720" w:gutter="0"/>
          <w:cols w:num="2" w:space="720"/>
          <w:noEndnote/>
        </w:sectPr>
      </w:pPr>
      <w:r w:rsidRPr="005976BC">
        <w:rPr>
          <w:rFonts w:asciiTheme="majorHAnsi" w:hAnsiTheme="majorHAnsi" w:cstheme="majorHAnsi"/>
          <w:b/>
          <w:sz w:val="22"/>
          <w:szCs w:val="22"/>
        </w:rPr>
        <w:t>Voinovich School of Leadership and Public Affairs</w:t>
      </w:r>
    </w:p>
    <w:p w14:paraId="15FF782F" w14:textId="76163DC4" w:rsidR="00BC0399" w:rsidRPr="009203C6" w:rsidRDefault="00BC0399" w:rsidP="005976BC">
      <w:pPr>
        <w:pStyle w:val="Default"/>
        <w:ind w:left="1080"/>
        <w:rPr>
          <w:rFonts w:asciiTheme="majorHAnsi" w:hAnsiTheme="majorHAnsi" w:cstheme="majorHAnsi"/>
          <w:sz w:val="22"/>
          <w:szCs w:val="22"/>
        </w:rPr>
      </w:pPr>
    </w:p>
    <w:p w14:paraId="426D925D" w14:textId="3CCB913A" w:rsidR="001C4134" w:rsidRDefault="00CE4FFE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Degree</w:t>
      </w:r>
      <w:r w:rsidR="0015587C">
        <w:rPr>
          <w:rFonts w:asciiTheme="majorHAnsi" w:hAnsiTheme="majorHAnsi" w:cstheme="majorHAnsi"/>
          <w:sz w:val="22"/>
          <w:szCs w:val="22"/>
        </w:rPr>
        <w:t>s and</w:t>
      </w:r>
      <w:r>
        <w:rPr>
          <w:rFonts w:asciiTheme="majorHAnsi" w:hAnsiTheme="majorHAnsi" w:cstheme="majorHAnsi"/>
          <w:sz w:val="22"/>
          <w:szCs w:val="22"/>
        </w:rPr>
        <w:t xml:space="preserve"> programs available on OHIO’s </w:t>
      </w:r>
      <w:r w:rsidR="00B3619F" w:rsidRPr="00B0779B">
        <w:rPr>
          <w:rFonts w:asciiTheme="majorHAnsi" w:hAnsiTheme="majorHAnsi" w:cstheme="majorHAnsi"/>
          <w:b/>
          <w:sz w:val="22"/>
          <w:szCs w:val="22"/>
        </w:rPr>
        <w:t>REGIONAL CAMPUS</w:t>
      </w:r>
      <w:r w:rsidR="00B0779B" w:rsidRPr="00B0779B">
        <w:rPr>
          <w:rFonts w:asciiTheme="majorHAnsi" w:hAnsiTheme="majorHAnsi" w:cstheme="majorHAnsi"/>
          <w:b/>
          <w:sz w:val="22"/>
          <w:szCs w:val="22"/>
        </w:rPr>
        <w:t>ES</w:t>
      </w:r>
      <w:r w:rsidR="00B3619F">
        <w:rPr>
          <w:rFonts w:asciiTheme="majorHAnsi" w:hAnsiTheme="majorHAnsi" w:cstheme="majorHAnsi"/>
          <w:sz w:val="22"/>
          <w:szCs w:val="22"/>
        </w:rPr>
        <w:t xml:space="preserve"> can be </w:t>
      </w:r>
      <w:r w:rsidR="001C4134">
        <w:rPr>
          <w:rFonts w:asciiTheme="majorHAnsi" w:hAnsiTheme="majorHAnsi" w:cstheme="majorHAnsi"/>
          <w:sz w:val="22"/>
          <w:szCs w:val="22"/>
        </w:rPr>
        <w:t xml:space="preserve">viewed </w:t>
      </w:r>
      <w:hyperlink r:id="rId6" w:history="1">
        <w:r w:rsidR="001C4134" w:rsidRPr="00CE4FFE">
          <w:rPr>
            <w:rStyle w:val="Hyperlink"/>
            <w:rFonts w:asciiTheme="majorHAnsi" w:hAnsiTheme="majorHAnsi" w:cstheme="majorHAnsi"/>
            <w:sz w:val="22"/>
            <w:szCs w:val="22"/>
          </w:rPr>
          <w:t>online</w:t>
        </w:r>
      </w:hyperlink>
      <w:r>
        <w:rPr>
          <w:rFonts w:asciiTheme="majorHAnsi" w:hAnsiTheme="majorHAnsi" w:cstheme="majorHAnsi"/>
          <w:sz w:val="22"/>
          <w:szCs w:val="22"/>
        </w:rPr>
        <w:t>.</w:t>
      </w:r>
    </w:p>
    <w:p w14:paraId="2E43942F" w14:textId="46C9DA75" w:rsidR="00BC0399" w:rsidRPr="009203C6" w:rsidRDefault="00BC0399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56945D9" w14:textId="77777777" w:rsidR="009E3153" w:rsidRPr="009203C6" w:rsidRDefault="009E3153" w:rsidP="0049434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3834B66C" w14:textId="5E3C971C" w:rsidR="00044BE3" w:rsidRPr="009203C6" w:rsidRDefault="00044BE3" w:rsidP="0049434D">
      <w:pPr>
        <w:pStyle w:val="BasicParagraph"/>
        <w:tabs>
          <w:tab w:val="left" w:pos="180"/>
        </w:tabs>
        <w:suppressAutoHyphens/>
        <w:spacing w:line="240" w:lineRule="auto"/>
        <w:ind w:left="187" w:hanging="187"/>
        <w:rPr>
          <w:rFonts w:asciiTheme="majorHAnsi" w:hAnsiTheme="majorHAnsi" w:cstheme="majorHAnsi"/>
          <w:iCs/>
          <w:sz w:val="20"/>
          <w:szCs w:val="20"/>
        </w:rPr>
      </w:pPr>
      <w:r w:rsidRPr="009203C6">
        <w:rPr>
          <w:rFonts w:asciiTheme="majorHAnsi" w:hAnsiTheme="majorHAnsi" w:cstheme="majorHAnsi"/>
          <w:iCs/>
          <w:sz w:val="20"/>
          <w:szCs w:val="20"/>
        </w:rPr>
        <w:t>*</w:t>
      </w:r>
      <w:r w:rsidR="002D27C6" w:rsidRPr="009203C6">
        <w:rPr>
          <w:rFonts w:asciiTheme="majorHAnsi" w:hAnsiTheme="majorHAnsi" w:cstheme="majorHAnsi"/>
          <w:iCs/>
          <w:sz w:val="20"/>
          <w:szCs w:val="20"/>
        </w:rPr>
        <w:tab/>
      </w:r>
      <w:r w:rsidR="009E3153" w:rsidRPr="009203C6">
        <w:rPr>
          <w:rFonts w:asciiTheme="majorHAnsi" w:hAnsiTheme="majorHAnsi" w:cstheme="majorHAnsi"/>
          <w:iCs/>
          <w:sz w:val="20"/>
          <w:szCs w:val="20"/>
        </w:rPr>
        <w:t xml:space="preserve">Scholarship </w:t>
      </w:r>
      <w:r w:rsidR="00FF5349" w:rsidRPr="009203C6">
        <w:rPr>
          <w:rFonts w:asciiTheme="majorHAnsi" w:hAnsiTheme="majorHAnsi" w:cstheme="majorHAnsi"/>
          <w:iCs/>
          <w:sz w:val="20"/>
          <w:szCs w:val="20"/>
        </w:rPr>
        <w:t>Matching Program</w:t>
      </w:r>
      <w:r w:rsidR="009E3153" w:rsidRPr="009203C6">
        <w:rPr>
          <w:rFonts w:asciiTheme="majorHAnsi" w:hAnsiTheme="majorHAnsi" w:cstheme="majorHAnsi"/>
          <w:iCs/>
          <w:sz w:val="20"/>
          <w:szCs w:val="20"/>
        </w:rPr>
        <w:t xml:space="preserve"> details are determined by Ohio University and administered by The Ohio University Foundation. The program is subject to termination at any time. Funds are available for matching gifts on a first-come/first-served basis.</w:t>
      </w:r>
    </w:p>
    <w:sectPr w:rsidR="00044BE3" w:rsidRPr="009203C6" w:rsidSect="005976BC">
      <w:type w:val="continuous"/>
      <w:pgSz w:w="12240" w:h="16340"/>
      <w:pgMar w:top="144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empos Headline Light">
    <w:altName w:val="Cambria"/>
    <w:panose1 w:val="020B0604020202020204"/>
    <w:charset w:val="4D"/>
    <w:family w:val="roma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Heading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6E93"/>
    <w:multiLevelType w:val="hybridMultilevel"/>
    <w:tmpl w:val="B9A0E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02DDE"/>
    <w:multiLevelType w:val="hybridMultilevel"/>
    <w:tmpl w:val="C3AC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F3F15"/>
    <w:multiLevelType w:val="hybridMultilevel"/>
    <w:tmpl w:val="A57E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03FC"/>
    <w:multiLevelType w:val="multilevel"/>
    <w:tmpl w:val="FC0C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74977"/>
    <w:multiLevelType w:val="hybridMultilevel"/>
    <w:tmpl w:val="33CC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53"/>
    <w:rsid w:val="00030438"/>
    <w:rsid w:val="00044BE3"/>
    <w:rsid w:val="000A1533"/>
    <w:rsid w:val="0015587C"/>
    <w:rsid w:val="00183832"/>
    <w:rsid w:val="001C4134"/>
    <w:rsid w:val="001D404E"/>
    <w:rsid w:val="00273A0A"/>
    <w:rsid w:val="002867C8"/>
    <w:rsid w:val="002A427B"/>
    <w:rsid w:val="002D27C6"/>
    <w:rsid w:val="002D7ACB"/>
    <w:rsid w:val="003367DE"/>
    <w:rsid w:val="003D1C78"/>
    <w:rsid w:val="00477835"/>
    <w:rsid w:val="00492495"/>
    <w:rsid w:val="0049434D"/>
    <w:rsid w:val="00520636"/>
    <w:rsid w:val="005464DE"/>
    <w:rsid w:val="005976BC"/>
    <w:rsid w:val="005B170A"/>
    <w:rsid w:val="005F0D9C"/>
    <w:rsid w:val="006063CB"/>
    <w:rsid w:val="00611A64"/>
    <w:rsid w:val="00677A8A"/>
    <w:rsid w:val="006A2104"/>
    <w:rsid w:val="007B626D"/>
    <w:rsid w:val="00840787"/>
    <w:rsid w:val="008F448E"/>
    <w:rsid w:val="009203C6"/>
    <w:rsid w:val="009D48BB"/>
    <w:rsid w:val="009E3153"/>
    <w:rsid w:val="00A5492F"/>
    <w:rsid w:val="00A668AB"/>
    <w:rsid w:val="00B0779B"/>
    <w:rsid w:val="00B2080D"/>
    <w:rsid w:val="00B27AE5"/>
    <w:rsid w:val="00B3619F"/>
    <w:rsid w:val="00BC0399"/>
    <w:rsid w:val="00C31D42"/>
    <w:rsid w:val="00C431C9"/>
    <w:rsid w:val="00CC0883"/>
    <w:rsid w:val="00CE3086"/>
    <w:rsid w:val="00CE4FFE"/>
    <w:rsid w:val="00CF6902"/>
    <w:rsid w:val="00D073CF"/>
    <w:rsid w:val="00D355EE"/>
    <w:rsid w:val="00D805CF"/>
    <w:rsid w:val="00D858E4"/>
    <w:rsid w:val="00D972C3"/>
    <w:rsid w:val="00DD7B9E"/>
    <w:rsid w:val="00E420F0"/>
    <w:rsid w:val="00E648B7"/>
    <w:rsid w:val="00F544C1"/>
    <w:rsid w:val="00FB15C5"/>
    <w:rsid w:val="00FE7E4F"/>
    <w:rsid w:val="00FF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C6256B"/>
  <w14:defaultImageDpi w14:val="300"/>
  <w15:docId w15:val="{6688CDC0-2800-0249-B87D-F04F3686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empos Headline Light" w:eastAsiaTheme="minorEastAsia" w:hAnsi="Tiempos Headline Light" w:cs="Times New Roman"/>
        <w:spacing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15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15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E31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E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434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B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B9E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B9E"/>
    <w:rPr>
      <w:rFonts w:asciiTheme="minorHAnsi" w:hAnsiTheme="minorHAnsi" w:cstheme="minorBid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4F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F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hio.edu/regional/degreesandprograms.cfm" TargetMode="Externa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Bowie</dc:creator>
  <cp:keywords/>
  <dc:description/>
  <cp:lastModifiedBy>Mohr, Neal</cp:lastModifiedBy>
  <cp:revision>2</cp:revision>
  <cp:lastPrinted>2014-06-03T16:43:00Z</cp:lastPrinted>
  <dcterms:created xsi:type="dcterms:W3CDTF">2019-01-18T20:31:00Z</dcterms:created>
  <dcterms:modified xsi:type="dcterms:W3CDTF">2019-01-18T20:31:00Z</dcterms:modified>
</cp:coreProperties>
</file>