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B5DE" w14:textId="43FC6DE2" w:rsidR="004C60F7" w:rsidRPr="007E7ED9" w:rsidRDefault="007E7ED9" w:rsidP="0011266C">
      <w:pPr>
        <w:jc w:val="center"/>
        <w:rPr>
          <w:b/>
          <w:bCs/>
          <w:sz w:val="24"/>
          <w:szCs w:val="24"/>
          <w:u w:val="single"/>
        </w:rPr>
      </w:pPr>
      <w:r>
        <w:rPr>
          <w:b/>
          <w:bCs/>
          <w:sz w:val="24"/>
          <w:szCs w:val="24"/>
          <w:u w:val="single"/>
        </w:rPr>
        <w:t xml:space="preserve">Registering TOUCH hours – </w:t>
      </w:r>
      <w:proofErr w:type="gramStart"/>
      <w:r>
        <w:rPr>
          <w:b/>
          <w:bCs/>
          <w:sz w:val="24"/>
          <w:szCs w:val="24"/>
          <w:u w:val="single"/>
        </w:rPr>
        <w:t>new  users</w:t>
      </w:r>
      <w:proofErr w:type="gramEnd"/>
    </w:p>
    <w:p w14:paraId="6745157D" w14:textId="60565378" w:rsidR="0011266C" w:rsidRDefault="0011266C" w:rsidP="0011266C">
      <w:pPr>
        <w:jc w:val="center"/>
        <w:rPr>
          <w:u w:val="single"/>
        </w:rPr>
      </w:pPr>
    </w:p>
    <w:p w14:paraId="6ACD147C" w14:textId="0107B836" w:rsidR="0011266C" w:rsidRDefault="0011266C" w:rsidP="0011266C">
      <w:r>
        <w:t xml:space="preserve">To register your TOUCH hours, you will need to create an account with the Track </w:t>
      </w:r>
      <w:proofErr w:type="gramStart"/>
      <w:r>
        <w:t>it</w:t>
      </w:r>
      <w:proofErr w:type="gramEnd"/>
      <w:r>
        <w:t xml:space="preserve"> forward system. These instruct</w:t>
      </w:r>
      <w:r w:rsidR="007E7ED9">
        <w:t>ions</w:t>
      </w:r>
      <w:r>
        <w:t xml:space="preserve"> are for students who are registering with the system for the </w:t>
      </w:r>
      <w:r w:rsidRPr="0011266C">
        <w:rPr>
          <w:i/>
          <w:iCs/>
          <w:u w:val="single"/>
        </w:rPr>
        <w:t>first time</w:t>
      </w:r>
      <w:r>
        <w:t xml:space="preserve">. You do </w:t>
      </w:r>
      <w:r w:rsidRPr="00BE68B8">
        <w:rPr>
          <w:i/>
          <w:iCs/>
          <w:u w:val="single"/>
        </w:rPr>
        <w:t>not</w:t>
      </w:r>
      <w:r>
        <w:t xml:space="preserve"> need to create an account every year, your credentials should last until you graduate. </w:t>
      </w:r>
    </w:p>
    <w:p w14:paraId="30A671EA" w14:textId="7C6CFA2B" w:rsidR="0011266C" w:rsidRDefault="0011266C" w:rsidP="0011266C"/>
    <w:p w14:paraId="7BC62D7E" w14:textId="1DF4ABCF" w:rsidR="0011266C" w:rsidRDefault="0011266C" w:rsidP="00BE68B8">
      <w:pPr>
        <w:pStyle w:val="ListParagraph"/>
        <w:numPr>
          <w:ilvl w:val="0"/>
          <w:numId w:val="4"/>
        </w:numPr>
        <w:spacing w:line="360" w:lineRule="auto"/>
      </w:pPr>
      <w:r>
        <w:t xml:space="preserve">Navigate to the Track </w:t>
      </w:r>
      <w:proofErr w:type="gramStart"/>
      <w:r>
        <w:t>it</w:t>
      </w:r>
      <w:proofErr w:type="gramEnd"/>
      <w:r>
        <w:t xml:space="preserve"> forward website here: </w:t>
      </w:r>
      <w:hyperlink r:id="rId5" w:history="1">
        <w:r w:rsidRPr="0011266C">
          <w:rPr>
            <w:rStyle w:val="Hyperlink"/>
            <w:sz w:val="18"/>
            <w:szCs w:val="18"/>
          </w:rPr>
          <w:t>https://www.trackitfor</w:t>
        </w:r>
        <w:r w:rsidRPr="0011266C">
          <w:rPr>
            <w:rStyle w:val="Hyperlink"/>
            <w:sz w:val="18"/>
            <w:szCs w:val="18"/>
          </w:rPr>
          <w:t>w</w:t>
        </w:r>
        <w:r w:rsidRPr="0011266C">
          <w:rPr>
            <w:rStyle w:val="Hyperlink"/>
            <w:sz w:val="18"/>
            <w:szCs w:val="18"/>
          </w:rPr>
          <w:t>ard.com/group/aacom-touch-site</w:t>
        </w:r>
      </w:hyperlink>
    </w:p>
    <w:p w14:paraId="4CD0C6DD" w14:textId="358FF2A3" w:rsidR="0011266C" w:rsidRDefault="0011266C" w:rsidP="00BE68B8">
      <w:pPr>
        <w:pStyle w:val="ListParagraph"/>
        <w:numPr>
          <w:ilvl w:val="0"/>
          <w:numId w:val="4"/>
        </w:numPr>
        <w:spacing w:line="360" w:lineRule="auto"/>
      </w:pPr>
      <w:r w:rsidRPr="0011266C">
        <w:t>Once on the AACOM page, navigate to and click on the OU-HCOM campus you attend</w:t>
      </w:r>
    </w:p>
    <w:p w14:paraId="6E5C3493" w14:textId="67BAF6B2" w:rsidR="00BE68B8" w:rsidRPr="00BE68B8" w:rsidRDefault="00BE68B8" w:rsidP="00BE68B8">
      <w:pPr>
        <w:pStyle w:val="ListParagraph"/>
        <w:numPr>
          <w:ilvl w:val="1"/>
          <w:numId w:val="2"/>
        </w:numPr>
        <w:spacing w:line="360" w:lineRule="auto"/>
        <w:rPr>
          <w:i/>
          <w:iCs/>
        </w:rPr>
      </w:pPr>
      <w:r w:rsidRPr="00BE68B8">
        <w:rPr>
          <w:i/>
          <w:iCs/>
        </w:rPr>
        <w:t>Please be mindful of selecting YOUR correct campus</w:t>
      </w:r>
      <w:r>
        <w:rPr>
          <w:i/>
          <w:iCs/>
        </w:rPr>
        <w:t xml:space="preserve"> – Athens, </w:t>
      </w:r>
      <w:proofErr w:type="gramStart"/>
      <w:r>
        <w:rPr>
          <w:i/>
          <w:iCs/>
        </w:rPr>
        <w:t>Dublin</w:t>
      </w:r>
      <w:proofErr w:type="gramEnd"/>
      <w:r>
        <w:rPr>
          <w:i/>
          <w:iCs/>
        </w:rPr>
        <w:t xml:space="preserve"> or Cleveland</w:t>
      </w:r>
      <w:r w:rsidRPr="00BE68B8">
        <w:rPr>
          <w:i/>
          <w:iCs/>
        </w:rPr>
        <w:t xml:space="preserve"> (our campuses are about halfway down the page) </w:t>
      </w:r>
    </w:p>
    <w:p w14:paraId="665288FE" w14:textId="323A861C" w:rsidR="00BE68B8" w:rsidRPr="0011266C" w:rsidRDefault="00BE68B8" w:rsidP="00BE68B8">
      <w:pPr>
        <w:pStyle w:val="ListParagraph"/>
        <w:numPr>
          <w:ilvl w:val="1"/>
          <w:numId w:val="2"/>
        </w:numPr>
        <w:spacing w:line="360" w:lineRule="auto"/>
      </w:pPr>
      <w:r>
        <w:rPr>
          <w:noProof/>
        </w:rPr>
        <w:drawing>
          <wp:inline distT="0" distB="0" distL="0" distR="0" wp14:anchorId="0A379DB1" wp14:editId="6FD93D55">
            <wp:extent cx="3161671" cy="139437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92747" cy="1408083"/>
                    </a:xfrm>
                    <a:prstGeom prst="rect">
                      <a:avLst/>
                    </a:prstGeom>
                  </pic:spPr>
                </pic:pic>
              </a:graphicData>
            </a:graphic>
          </wp:inline>
        </w:drawing>
      </w:r>
    </w:p>
    <w:p w14:paraId="0069F7F6" w14:textId="6BEEC694" w:rsidR="0011266C" w:rsidRDefault="0011266C" w:rsidP="00BE68B8">
      <w:pPr>
        <w:pStyle w:val="ListParagraph"/>
        <w:numPr>
          <w:ilvl w:val="0"/>
          <w:numId w:val="4"/>
        </w:numPr>
        <w:spacing w:line="360" w:lineRule="auto"/>
      </w:pPr>
      <w:r w:rsidRPr="0011266C">
        <w:t>Click “Sign up” and enter your personal information</w:t>
      </w:r>
    </w:p>
    <w:p w14:paraId="4244FD6F" w14:textId="09AFE270" w:rsidR="0011266C" w:rsidRPr="00BE68B8" w:rsidRDefault="0011266C" w:rsidP="00BE68B8">
      <w:pPr>
        <w:pStyle w:val="ListParagraph"/>
        <w:numPr>
          <w:ilvl w:val="0"/>
          <w:numId w:val="3"/>
        </w:numPr>
        <w:spacing w:line="360" w:lineRule="auto"/>
        <w:rPr>
          <w:i/>
          <w:iCs/>
        </w:rPr>
      </w:pPr>
      <w:r w:rsidRPr="00BE68B8">
        <w:rPr>
          <w:i/>
          <w:iCs/>
        </w:rPr>
        <w:t>Please use your OU email address when registering</w:t>
      </w:r>
    </w:p>
    <w:p w14:paraId="7C5A4C84" w14:textId="3B8E9BDC" w:rsidR="0011266C" w:rsidRPr="0011266C" w:rsidRDefault="0011266C" w:rsidP="00BE68B8">
      <w:pPr>
        <w:pStyle w:val="ListParagraph"/>
        <w:numPr>
          <w:ilvl w:val="0"/>
          <w:numId w:val="4"/>
        </w:numPr>
        <w:spacing w:line="360" w:lineRule="auto"/>
      </w:pPr>
      <w:r w:rsidRPr="0011266C">
        <w:t>Once the portal opens</w:t>
      </w:r>
      <w:r>
        <w:t>,</w:t>
      </w:r>
      <w:r w:rsidRPr="0011266C">
        <w:t xml:space="preserve"> you can enter TOUCH hours for encounters you have completed</w:t>
      </w:r>
    </w:p>
    <w:p w14:paraId="5E88E3D4" w14:textId="393B7576" w:rsidR="00BE68B8" w:rsidRDefault="00BE68B8" w:rsidP="00BE68B8">
      <w:pPr>
        <w:ind w:left="360"/>
      </w:pPr>
    </w:p>
    <w:p w14:paraId="3081F681" w14:textId="77777777" w:rsidR="007E7ED9" w:rsidRDefault="007E7ED9" w:rsidP="007E7ED9">
      <w:pPr>
        <w:spacing w:line="360" w:lineRule="auto"/>
        <w:ind w:left="360"/>
      </w:pPr>
    </w:p>
    <w:p w14:paraId="4B24774D" w14:textId="77777777" w:rsidR="007E7ED9" w:rsidRDefault="007E7ED9" w:rsidP="007E7ED9">
      <w:pPr>
        <w:spacing w:line="360" w:lineRule="auto"/>
        <w:ind w:left="360"/>
      </w:pPr>
    </w:p>
    <w:p w14:paraId="4689BF7C" w14:textId="77777777" w:rsidR="007E7ED9" w:rsidRDefault="007E7ED9" w:rsidP="007E7ED9">
      <w:pPr>
        <w:spacing w:line="360" w:lineRule="auto"/>
        <w:ind w:left="360"/>
      </w:pPr>
    </w:p>
    <w:p w14:paraId="345CEB8B" w14:textId="77777777" w:rsidR="007E7ED9" w:rsidRDefault="007E7ED9" w:rsidP="007E7ED9">
      <w:pPr>
        <w:spacing w:line="360" w:lineRule="auto"/>
        <w:ind w:left="360"/>
      </w:pPr>
    </w:p>
    <w:p w14:paraId="01724FDC" w14:textId="77777777" w:rsidR="007E7ED9" w:rsidRDefault="007E7ED9" w:rsidP="007E7ED9">
      <w:pPr>
        <w:spacing w:line="360" w:lineRule="auto"/>
        <w:ind w:left="360"/>
      </w:pPr>
    </w:p>
    <w:p w14:paraId="37DDDB1C" w14:textId="77777777" w:rsidR="007E7ED9" w:rsidRDefault="007E7ED9" w:rsidP="007E7ED9">
      <w:pPr>
        <w:spacing w:line="360" w:lineRule="auto"/>
        <w:ind w:left="360"/>
      </w:pPr>
    </w:p>
    <w:p w14:paraId="0610166B" w14:textId="77777777" w:rsidR="007E7ED9" w:rsidRDefault="007E7ED9" w:rsidP="007E7ED9">
      <w:pPr>
        <w:spacing w:line="360" w:lineRule="auto"/>
        <w:ind w:left="360"/>
      </w:pPr>
    </w:p>
    <w:p w14:paraId="45183C97" w14:textId="77777777" w:rsidR="007E7ED9" w:rsidRDefault="007E7ED9" w:rsidP="007E7ED9">
      <w:pPr>
        <w:spacing w:line="360" w:lineRule="auto"/>
        <w:ind w:left="360"/>
      </w:pPr>
    </w:p>
    <w:p w14:paraId="24432349" w14:textId="77777777" w:rsidR="007E7ED9" w:rsidRDefault="007E7ED9" w:rsidP="007E7ED9">
      <w:pPr>
        <w:spacing w:line="360" w:lineRule="auto"/>
        <w:ind w:left="360"/>
      </w:pPr>
    </w:p>
    <w:p w14:paraId="1E3A9B46" w14:textId="77777777" w:rsidR="007E7ED9" w:rsidRDefault="007E7ED9" w:rsidP="007E7ED9">
      <w:pPr>
        <w:spacing w:line="360" w:lineRule="auto"/>
        <w:ind w:left="360"/>
      </w:pPr>
    </w:p>
    <w:p w14:paraId="0A5F6B40" w14:textId="77777777" w:rsidR="007E7ED9" w:rsidRDefault="007E7ED9" w:rsidP="007E7ED9">
      <w:pPr>
        <w:spacing w:line="360" w:lineRule="auto"/>
        <w:ind w:left="360"/>
      </w:pPr>
    </w:p>
    <w:p w14:paraId="2ADD30A0" w14:textId="77777777" w:rsidR="007E7ED9" w:rsidRDefault="007E7ED9" w:rsidP="007E7ED9">
      <w:pPr>
        <w:spacing w:line="360" w:lineRule="auto"/>
        <w:ind w:left="360"/>
      </w:pPr>
    </w:p>
    <w:p w14:paraId="326F72DF" w14:textId="77777777" w:rsidR="007E7ED9" w:rsidRDefault="007E7ED9" w:rsidP="007E7ED9">
      <w:pPr>
        <w:spacing w:line="360" w:lineRule="auto"/>
        <w:ind w:left="360"/>
      </w:pPr>
    </w:p>
    <w:p w14:paraId="440FF44A" w14:textId="77777777" w:rsidR="007E7ED9" w:rsidRDefault="007E7ED9" w:rsidP="007E7ED9">
      <w:pPr>
        <w:spacing w:line="360" w:lineRule="auto"/>
        <w:ind w:left="360"/>
      </w:pPr>
    </w:p>
    <w:p w14:paraId="515A04E2" w14:textId="1E4E6071" w:rsidR="007E7ED9" w:rsidRPr="007E7ED9" w:rsidRDefault="007E7ED9" w:rsidP="007E7ED9">
      <w:pPr>
        <w:spacing w:line="360" w:lineRule="auto"/>
        <w:ind w:left="360"/>
        <w:jc w:val="center"/>
        <w:rPr>
          <w:sz w:val="24"/>
          <w:szCs w:val="24"/>
        </w:rPr>
      </w:pPr>
      <w:r w:rsidRPr="007E7ED9">
        <w:rPr>
          <w:b/>
          <w:bCs/>
          <w:sz w:val="24"/>
          <w:szCs w:val="24"/>
          <w:u w:val="single"/>
        </w:rPr>
        <w:lastRenderedPageBreak/>
        <w:t>Registering TOUCH hours – continuing students</w:t>
      </w:r>
    </w:p>
    <w:p w14:paraId="39160609" w14:textId="5F69248E" w:rsidR="00BE68B8" w:rsidRDefault="00BE68B8" w:rsidP="007E7ED9">
      <w:pPr>
        <w:spacing w:line="360" w:lineRule="auto"/>
        <w:ind w:left="360"/>
      </w:pPr>
      <w:r>
        <w:t>If you already have an account, follow these instructions to register your TOUCH hours</w:t>
      </w:r>
      <w:r w:rsidR="007E7ED9">
        <w:t xml:space="preserve">. </w:t>
      </w:r>
      <w:r w:rsidR="007E7ED9" w:rsidRPr="007E7ED9">
        <w:rPr>
          <w:b/>
          <w:bCs/>
          <w:u w:val="single"/>
        </w:rPr>
        <w:t>All hours must be submitted within 30 days of completing the service activity.</w:t>
      </w:r>
      <w:r w:rsidR="007E7ED9" w:rsidRPr="00374EA6">
        <w:rPr>
          <w:b/>
          <w:bCs/>
        </w:rPr>
        <w:t xml:space="preserve"> </w:t>
      </w:r>
      <w:r w:rsidR="00374EA6" w:rsidRPr="00374EA6">
        <w:rPr>
          <w:i/>
          <w:iCs/>
        </w:rPr>
        <w:t xml:space="preserve">Please recall, if you are in a leadership position for an organization, your time working on service projects for that organization do </w:t>
      </w:r>
      <w:r w:rsidR="00374EA6" w:rsidRPr="00374EA6">
        <w:rPr>
          <w:b/>
          <w:bCs/>
          <w:i/>
          <w:iCs/>
          <w:u w:val="single"/>
        </w:rPr>
        <w:t>not</w:t>
      </w:r>
      <w:r w:rsidR="00374EA6" w:rsidRPr="00374EA6">
        <w:rPr>
          <w:i/>
          <w:iCs/>
        </w:rPr>
        <w:t xml:space="preserve"> qualify for TOUCH hours. </w:t>
      </w:r>
      <w:r w:rsidR="007E7ED9" w:rsidRPr="00374EA6">
        <w:br/>
      </w:r>
    </w:p>
    <w:p w14:paraId="04655C5A" w14:textId="450DF42A" w:rsidR="00BE68B8" w:rsidRDefault="00BE68B8" w:rsidP="007E7ED9">
      <w:pPr>
        <w:pStyle w:val="ListParagraph"/>
        <w:numPr>
          <w:ilvl w:val="0"/>
          <w:numId w:val="5"/>
        </w:numPr>
        <w:spacing w:line="360" w:lineRule="auto"/>
      </w:pPr>
      <w:r>
        <w:t xml:space="preserve">Navigate to the Track </w:t>
      </w:r>
      <w:proofErr w:type="gramStart"/>
      <w:r>
        <w:t>it</w:t>
      </w:r>
      <w:proofErr w:type="gramEnd"/>
      <w:r>
        <w:t xml:space="preserve"> forward website here: </w:t>
      </w:r>
      <w:hyperlink r:id="rId7" w:history="1">
        <w:r w:rsidRPr="00BE68B8">
          <w:rPr>
            <w:rStyle w:val="Hyperlink"/>
            <w:sz w:val="18"/>
            <w:szCs w:val="18"/>
          </w:rPr>
          <w:t>https://www.trackitforward.com/site/ou-hcom-cleveland</w:t>
        </w:r>
      </w:hyperlink>
    </w:p>
    <w:p w14:paraId="3868ED52" w14:textId="094FE438" w:rsidR="00BE68B8" w:rsidRPr="00BE68B8" w:rsidRDefault="00BE68B8" w:rsidP="007E7ED9">
      <w:pPr>
        <w:pStyle w:val="ListParagraph"/>
        <w:numPr>
          <w:ilvl w:val="1"/>
          <w:numId w:val="5"/>
        </w:numPr>
        <w:spacing w:line="360" w:lineRule="auto"/>
        <w:rPr>
          <w:i/>
          <w:iCs/>
        </w:rPr>
      </w:pPr>
      <w:r w:rsidRPr="00BE68B8">
        <w:rPr>
          <w:i/>
          <w:iCs/>
        </w:rPr>
        <w:t xml:space="preserve">Please be aware, this is for Cleveland campus students ONLY. Athens and Dublin students will need to follow the site to their campus specific website. </w:t>
      </w:r>
    </w:p>
    <w:p w14:paraId="4DA51D7D" w14:textId="5C6357EC" w:rsidR="00BE68B8" w:rsidRPr="00BE68B8" w:rsidRDefault="00BE68B8" w:rsidP="007E7ED9">
      <w:pPr>
        <w:pStyle w:val="ListParagraph"/>
        <w:numPr>
          <w:ilvl w:val="0"/>
          <w:numId w:val="5"/>
        </w:numPr>
        <w:spacing w:line="360" w:lineRule="auto"/>
        <w:rPr>
          <w:i/>
          <w:iCs/>
        </w:rPr>
      </w:pPr>
      <w:r>
        <w:t>You should see “log hours” at the top left hand of the screen as shown below.</w:t>
      </w:r>
    </w:p>
    <w:p w14:paraId="6A30E035" w14:textId="425CD55F" w:rsidR="00BE68B8" w:rsidRPr="00BE68B8" w:rsidRDefault="00BE68B8" w:rsidP="007E7ED9">
      <w:pPr>
        <w:pStyle w:val="ListParagraph"/>
        <w:numPr>
          <w:ilvl w:val="1"/>
          <w:numId w:val="5"/>
        </w:numPr>
        <w:spacing w:line="360" w:lineRule="auto"/>
        <w:rPr>
          <w:i/>
          <w:iCs/>
        </w:rPr>
      </w:pPr>
      <w:r>
        <w:rPr>
          <w:noProof/>
        </w:rPr>
        <w:drawing>
          <wp:inline distT="0" distB="0" distL="0" distR="0" wp14:anchorId="0864262D" wp14:editId="5EB78B03">
            <wp:extent cx="2279650" cy="2145453"/>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7431" cy="2162187"/>
                    </a:xfrm>
                    <a:prstGeom prst="rect">
                      <a:avLst/>
                    </a:prstGeom>
                  </pic:spPr>
                </pic:pic>
              </a:graphicData>
            </a:graphic>
          </wp:inline>
        </w:drawing>
      </w:r>
    </w:p>
    <w:p w14:paraId="7E726AD6" w14:textId="3C127499" w:rsidR="00BE68B8" w:rsidRPr="00BE68B8" w:rsidRDefault="00BE68B8" w:rsidP="007E7ED9">
      <w:pPr>
        <w:pStyle w:val="ListParagraph"/>
        <w:numPr>
          <w:ilvl w:val="0"/>
          <w:numId w:val="5"/>
        </w:numPr>
        <w:spacing w:line="360" w:lineRule="auto"/>
        <w:rPr>
          <w:i/>
          <w:iCs/>
        </w:rPr>
      </w:pPr>
      <w:r>
        <w:t xml:space="preserve">Complete the following sections for approval: </w:t>
      </w:r>
    </w:p>
    <w:p w14:paraId="2B0FF756" w14:textId="20A81E5A" w:rsidR="00BE68B8" w:rsidRPr="00BE68B8" w:rsidRDefault="00BE68B8" w:rsidP="007E7ED9">
      <w:pPr>
        <w:pStyle w:val="ListParagraph"/>
        <w:numPr>
          <w:ilvl w:val="1"/>
          <w:numId w:val="5"/>
        </w:numPr>
        <w:spacing w:line="360" w:lineRule="auto"/>
        <w:rPr>
          <w:i/>
          <w:iCs/>
        </w:rPr>
      </w:pPr>
      <w:r>
        <w:t>Hours</w:t>
      </w:r>
    </w:p>
    <w:p w14:paraId="6CA13809" w14:textId="421AF7E5" w:rsidR="00BE68B8" w:rsidRPr="00BE68B8" w:rsidRDefault="00BE68B8" w:rsidP="007E7ED9">
      <w:pPr>
        <w:pStyle w:val="ListParagraph"/>
        <w:numPr>
          <w:ilvl w:val="1"/>
          <w:numId w:val="5"/>
        </w:numPr>
        <w:spacing w:line="360" w:lineRule="auto"/>
        <w:rPr>
          <w:i/>
          <w:iCs/>
        </w:rPr>
      </w:pPr>
      <w:r>
        <w:t>Date</w:t>
      </w:r>
    </w:p>
    <w:p w14:paraId="38F5794C" w14:textId="5192AD99" w:rsidR="00BE68B8" w:rsidRPr="00BE68B8" w:rsidRDefault="00BE68B8" w:rsidP="007E7ED9">
      <w:pPr>
        <w:pStyle w:val="ListParagraph"/>
        <w:numPr>
          <w:ilvl w:val="1"/>
          <w:numId w:val="5"/>
        </w:numPr>
        <w:spacing w:line="360" w:lineRule="auto"/>
        <w:rPr>
          <w:i/>
          <w:iCs/>
        </w:rPr>
      </w:pPr>
      <w:r>
        <w:t xml:space="preserve">Service type </w:t>
      </w:r>
    </w:p>
    <w:p w14:paraId="031ABABA" w14:textId="6DD45E85" w:rsidR="00BE68B8" w:rsidRPr="007E7ED9" w:rsidRDefault="00BE68B8" w:rsidP="007E7ED9">
      <w:pPr>
        <w:pStyle w:val="ListParagraph"/>
        <w:numPr>
          <w:ilvl w:val="2"/>
          <w:numId w:val="5"/>
        </w:numPr>
        <w:spacing w:line="360" w:lineRule="auto"/>
        <w:rPr>
          <w:i/>
          <w:iCs/>
        </w:rPr>
      </w:pPr>
      <w:r>
        <w:t xml:space="preserve">TOUCH </w:t>
      </w:r>
      <w:r w:rsidR="007E7ED9">
        <w:t>–</w:t>
      </w:r>
      <w:r>
        <w:t xml:space="preserve"> </w:t>
      </w:r>
      <w:r w:rsidRPr="00BE68B8">
        <w:t>any</w:t>
      </w:r>
      <w:r w:rsidR="007E7ED9">
        <w:t xml:space="preserve"> volunteer</w:t>
      </w:r>
      <w:r w:rsidRPr="00BE68B8">
        <w:t xml:space="preserve"> activity that works to improve the health and wellness of a community which incorporates osteopathic tenets, awareness, principles, and practice</w:t>
      </w:r>
      <w:r>
        <w:t xml:space="preserve">. If you need more information on what qualifies as TOUCH, please refer to the AACOM webpage here: </w:t>
      </w:r>
      <w:hyperlink r:id="rId9" w:history="1">
        <w:r w:rsidR="007E7ED9" w:rsidRPr="00876F9A">
          <w:rPr>
            <w:rStyle w:val="Hyperlink"/>
          </w:rPr>
          <w:t>https://www.aacom.org/become-a-doctor/resources-for-medical-students/cosgp/touch-program/touch-program-rules-and-regulations</w:t>
        </w:r>
      </w:hyperlink>
    </w:p>
    <w:p w14:paraId="4F00C02F" w14:textId="77A301C7" w:rsidR="007E7ED9" w:rsidRPr="007E7ED9" w:rsidRDefault="007E7ED9" w:rsidP="007E7ED9">
      <w:pPr>
        <w:pStyle w:val="ListParagraph"/>
        <w:numPr>
          <w:ilvl w:val="2"/>
          <w:numId w:val="5"/>
        </w:numPr>
        <w:spacing w:line="360" w:lineRule="auto"/>
        <w:rPr>
          <w:i/>
          <w:iCs/>
        </w:rPr>
      </w:pPr>
      <w:r>
        <w:t xml:space="preserve">Volunteer – any volunteer activity that does not qualify for TOUCH will automatically be considered general volunteer hours. These do not count toward the TOUCH hours recognition levels (silver, gold, platinum), but still look </w:t>
      </w:r>
      <w:r>
        <w:lastRenderedPageBreak/>
        <w:t xml:space="preserve">good on your residency application! If you’re ever unsure if your volunteer work counts as TOUCH, contact the Director of Community Outreach at your campus. </w:t>
      </w:r>
    </w:p>
    <w:p w14:paraId="4388241B" w14:textId="7D7FA751" w:rsidR="007E7ED9" w:rsidRPr="007E7ED9" w:rsidRDefault="007E7ED9" w:rsidP="007E7ED9">
      <w:pPr>
        <w:pStyle w:val="ListParagraph"/>
        <w:numPr>
          <w:ilvl w:val="1"/>
          <w:numId w:val="5"/>
        </w:numPr>
        <w:spacing w:line="360" w:lineRule="auto"/>
        <w:rPr>
          <w:i/>
          <w:iCs/>
        </w:rPr>
      </w:pPr>
      <w:r>
        <w:t>Event name</w:t>
      </w:r>
    </w:p>
    <w:p w14:paraId="2542C0EB" w14:textId="0A64AF14" w:rsidR="007E7ED9" w:rsidRPr="007E7ED9" w:rsidRDefault="007E7ED9" w:rsidP="007E7ED9">
      <w:pPr>
        <w:pStyle w:val="ListParagraph"/>
        <w:numPr>
          <w:ilvl w:val="1"/>
          <w:numId w:val="5"/>
        </w:numPr>
        <w:spacing w:line="360" w:lineRule="auto"/>
        <w:rPr>
          <w:i/>
          <w:iCs/>
        </w:rPr>
      </w:pPr>
      <w:r>
        <w:t>Event location</w:t>
      </w:r>
    </w:p>
    <w:p w14:paraId="539D35A2" w14:textId="7A5E9207" w:rsidR="007E7ED9" w:rsidRPr="007E7ED9" w:rsidRDefault="007E7ED9" w:rsidP="007E7ED9">
      <w:pPr>
        <w:pStyle w:val="ListParagraph"/>
        <w:numPr>
          <w:ilvl w:val="1"/>
          <w:numId w:val="5"/>
        </w:numPr>
        <w:spacing w:line="360" w:lineRule="auto"/>
        <w:rPr>
          <w:i/>
          <w:iCs/>
        </w:rPr>
      </w:pPr>
      <w:r>
        <w:t>Event country</w:t>
      </w:r>
    </w:p>
    <w:p w14:paraId="19151121" w14:textId="6C425422" w:rsidR="007E7ED9" w:rsidRPr="007E7ED9" w:rsidRDefault="007E7ED9" w:rsidP="007E7ED9">
      <w:pPr>
        <w:pStyle w:val="ListParagraph"/>
        <w:numPr>
          <w:ilvl w:val="1"/>
          <w:numId w:val="5"/>
        </w:numPr>
        <w:spacing w:line="360" w:lineRule="auto"/>
        <w:rPr>
          <w:i/>
          <w:iCs/>
        </w:rPr>
      </w:pPr>
      <w:r>
        <w:t>Event setting</w:t>
      </w:r>
    </w:p>
    <w:p w14:paraId="47A28480" w14:textId="67711E74" w:rsidR="007E7ED9" w:rsidRPr="007E7ED9" w:rsidRDefault="007E7ED9" w:rsidP="007E7ED9">
      <w:pPr>
        <w:pStyle w:val="ListParagraph"/>
        <w:numPr>
          <w:ilvl w:val="1"/>
          <w:numId w:val="5"/>
        </w:numPr>
        <w:spacing w:line="360" w:lineRule="auto"/>
        <w:rPr>
          <w:i/>
          <w:iCs/>
        </w:rPr>
      </w:pPr>
      <w:r>
        <w:t>Event coordinator name</w:t>
      </w:r>
    </w:p>
    <w:p w14:paraId="79AA3456" w14:textId="64BEF19C" w:rsidR="007E7ED9" w:rsidRPr="007E7ED9" w:rsidRDefault="007E7ED9" w:rsidP="007E7ED9">
      <w:pPr>
        <w:pStyle w:val="ListParagraph"/>
        <w:numPr>
          <w:ilvl w:val="1"/>
          <w:numId w:val="5"/>
        </w:numPr>
        <w:spacing w:line="360" w:lineRule="auto"/>
        <w:rPr>
          <w:i/>
          <w:iCs/>
        </w:rPr>
      </w:pPr>
      <w:r>
        <w:t xml:space="preserve">Event coordinator email </w:t>
      </w:r>
    </w:p>
    <w:p w14:paraId="0C47D7C6" w14:textId="6EA3F015" w:rsidR="007E7ED9" w:rsidRPr="007E7ED9" w:rsidRDefault="007E7ED9" w:rsidP="007E7ED9">
      <w:pPr>
        <w:pStyle w:val="ListParagraph"/>
        <w:numPr>
          <w:ilvl w:val="1"/>
          <w:numId w:val="5"/>
        </w:numPr>
        <w:spacing w:line="360" w:lineRule="auto"/>
        <w:rPr>
          <w:i/>
          <w:iCs/>
        </w:rPr>
      </w:pPr>
      <w:r>
        <w:t>What type of service was provided</w:t>
      </w:r>
      <w:r w:rsidR="00374EA6">
        <w:t>?</w:t>
      </w:r>
    </w:p>
    <w:p w14:paraId="47EFCE18" w14:textId="45F16E55" w:rsidR="007E7ED9" w:rsidRPr="007E7ED9" w:rsidRDefault="007E7ED9" w:rsidP="007E7ED9">
      <w:pPr>
        <w:pStyle w:val="ListParagraph"/>
        <w:numPr>
          <w:ilvl w:val="1"/>
          <w:numId w:val="5"/>
        </w:numPr>
        <w:spacing w:line="360" w:lineRule="auto"/>
        <w:rPr>
          <w:i/>
          <w:iCs/>
        </w:rPr>
      </w:pPr>
      <w:r>
        <w:t xml:space="preserve">How does this event serve to benefit the community? </w:t>
      </w:r>
    </w:p>
    <w:p w14:paraId="5A22902A" w14:textId="6B9995D1" w:rsidR="007E7ED9" w:rsidRPr="007E7ED9" w:rsidRDefault="007E7ED9" w:rsidP="007E7ED9">
      <w:pPr>
        <w:pStyle w:val="ListParagraph"/>
        <w:numPr>
          <w:ilvl w:val="1"/>
          <w:numId w:val="5"/>
        </w:numPr>
        <w:spacing w:line="360" w:lineRule="auto"/>
        <w:rPr>
          <w:i/>
          <w:iCs/>
        </w:rPr>
      </w:pPr>
      <w:r>
        <w:t>Notes</w:t>
      </w:r>
    </w:p>
    <w:p w14:paraId="7E157260" w14:textId="46EB8F2C" w:rsidR="007E7ED9" w:rsidRPr="007E7ED9" w:rsidRDefault="007E7ED9" w:rsidP="007E7ED9">
      <w:pPr>
        <w:pStyle w:val="ListParagraph"/>
        <w:numPr>
          <w:ilvl w:val="2"/>
          <w:numId w:val="5"/>
        </w:numPr>
        <w:spacing w:line="360" w:lineRule="auto"/>
        <w:rPr>
          <w:i/>
          <w:iCs/>
        </w:rPr>
      </w:pPr>
      <w:r>
        <w:t xml:space="preserve">Only complete this section if you need to provide any specific details regarding your experience which will help the TOUCH coordinator confirm or deny if your service counts for TOUCH or not. </w:t>
      </w:r>
    </w:p>
    <w:p w14:paraId="55E071C9" w14:textId="72CADDC4" w:rsidR="007E7ED9" w:rsidRPr="007E7ED9" w:rsidRDefault="007E7ED9" w:rsidP="007E7ED9">
      <w:pPr>
        <w:pStyle w:val="ListParagraph"/>
        <w:numPr>
          <w:ilvl w:val="0"/>
          <w:numId w:val="5"/>
        </w:numPr>
        <w:spacing w:line="360" w:lineRule="auto"/>
        <w:rPr>
          <w:i/>
          <w:iCs/>
        </w:rPr>
      </w:pPr>
      <w:r>
        <w:t xml:space="preserve">Once the form is complete with the </w:t>
      </w:r>
      <w:r w:rsidR="00374EA6">
        <w:t>mentioned sections</w:t>
      </w:r>
      <w:r>
        <w:t>, click the orange “Submit Time” button at the bottom</w:t>
      </w:r>
    </w:p>
    <w:p w14:paraId="3CCA42D7" w14:textId="5365D103" w:rsidR="00BE68B8" w:rsidRPr="007E7ED9" w:rsidRDefault="007E7ED9" w:rsidP="007E7ED9">
      <w:pPr>
        <w:pStyle w:val="ListParagraph"/>
        <w:numPr>
          <w:ilvl w:val="0"/>
          <w:numId w:val="5"/>
        </w:numPr>
        <w:spacing w:line="360" w:lineRule="auto"/>
        <w:rPr>
          <w:i/>
          <w:iCs/>
        </w:rPr>
      </w:pPr>
      <w:r>
        <w:t>T</w:t>
      </w:r>
      <w:r w:rsidRPr="007E7ED9">
        <w:t xml:space="preserve">he SGA Student Director of Community Outreach or appointed committee member will review hours and approve/deny in accordance </w:t>
      </w:r>
      <w:proofErr w:type="gramStart"/>
      <w:r w:rsidRPr="007E7ED9">
        <w:t>to</w:t>
      </w:r>
      <w:proofErr w:type="gramEnd"/>
      <w:r w:rsidRPr="007E7ED9">
        <w:t xml:space="preserve"> AACOM standards</w:t>
      </w:r>
      <w:r>
        <w:t xml:space="preserve">. Your hours will not be officially registered until they are confirmed. </w:t>
      </w:r>
    </w:p>
    <w:sectPr w:rsidR="00BE68B8" w:rsidRPr="007E7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8B5"/>
    <w:multiLevelType w:val="hybridMultilevel"/>
    <w:tmpl w:val="1666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25647"/>
    <w:multiLevelType w:val="hybridMultilevel"/>
    <w:tmpl w:val="D77421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96065F"/>
    <w:multiLevelType w:val="hybridMultilevel"/>
    <w:tmpl w:val="A524C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94765"/>
    <w:multiLevelType w:val="hybridMultilevel"/>
    <w:tmpl w:val="7F321A80"/>
    <w:lvl w:ilvl="0" w:tplc="E5CC5798">
      <w:start w:val="1"/>
      <w:numFmt w:val="bullet"/>
      <w:lvlText w:val=""/>
      <w:lvlJc w:val="left"/>
      <w:pPr>
        <w:tabs>
          <w:tab w:val="num" w:pos="720"/>
        </w:tabs>
        <w:ind w:left="720" w:hanging="360"/>
      </w:pPr>
      <w:rPr>
        <w:rFonts w:ascii="Wingdings 3" w:hAnsi="Wingdings 3" w:hint="default"/>
      </w:rPr>
    </w:lvl>
    <w:lvl w:ilvl="1" w:tplc="B936BC2E">
      <w:numFmt w:val="bullet"/>
      <w:lvlText w:val=""/>
      <w:lvlJc w:val="left"/>
      <w:pPr>
        <w:tabs>
          <w:tab w:val="num" w:pos="1440"/>
        </w:tabs>
        <w:ind w:left="1440" w:hanging="360"/>
      </w:pPr>
      <w:rPr>
        <w:rFonts w:ascii="Wingdings 3" w:hAnsi="Wingdings 3" w:hint="default"/>
      </w:rPr>
    </w:lvl>
    <w:lvl w:ilvl="2" w:tplc="D0AABF48">
      <w:numFmt w:val="bullet"/>
      <w:lvlText w:val=""/>
      <w:lvlJc w:val="left"/>
      <w:pPr>
        <w:tabs>
          <w:tab w:val="num" w:pos="2160"/>
        </w:tabs>
        <w:ind w:left="2160" w:hanging="360"/>
      </w:pPr>
      <w:rPr>
        <w:rFonts w:ascii="Wingdings 3" w:hAnsi="Wingdings 3" w:hint="default"/>
      </w:rPr>
    </w:lvl>
    <w:lvl w:ilvl="3" w:tplc="D53E29BE" w:tentative="1">
      <w:start w:val="1"/>
      <w:numFmt w:val="bullet"/>
      <w:lvlText w:val=""/>
      <w:lvlJc w:val="left"/>
      <w:pPr>
        <w:tabs>
          <w:tab w:val="num" w:pos="2880"/>
        </w:tabs>
        <w:ind w:left="2880" w:hanging="360"/>
      </w:pPr>
      <w:rPr>
        <w:rFonts w:ascii="Wingdings 3" w:hAnsi="Wingdings 3" w:hint="default"/>
      </w:rPr>
    </w:lvl>
    <w:lvl w:ilvl="4" w:tplc="CB448C30" w:tentative="1">
      <w:start w:val="1"/>
      <w:numFmt w:val="bullet"/>
      <w:lvlText w:val=""/>
      <w:lvlJc w:val="left"/>
      <w:pPr>
        <w:tabs>
          <w:tab w:val="num" w:pos="3600"/>
        </w:tabs>
        <w:ind w:left="3600" w:hanging="360"/>
      </w:pPr>
      <w:rPr>
        <w:rFonts w:ascii="Wingdings 3" w:hAnsi="Wingdings 3" w:hint="default"/>
      </w:rPr>
    </w:lvl>
    <w:lvl w:ilvl="5" w:tplc="8F147E48" w:tentative="1">
      <w:start w:val="1"/>
      <w:numFmt w:val="bullet"/>
      <w:lvlText w:val=""/>
      <w:lvlJc w:val="left"/>
      <w:pPr>
        <w:tabs>
          <w:tab w:val="num" w:pos="4320"/>
        </w:tabs>
        <w:ind w:left="4320" w:hanging="360"/>
      </w:pPr>
      <w:rPr>
        <w:rFonts w:ascii="Wingdings 3" w:hAnsi="Wingdings 3" w:hint="default"/>
      </w:rPr>
    </w:lvl>
    <w:lvl w:ilvl="6" w:tplc="EF063FDA" w:tentative="1">
      <w:start w:val="1"/>
      <w:numFmt w:val="bullet"/>
      <w:lvlText w:val=""/>
      <w:lvlJc w:val="left"/>
      <w:pPr>
        <w:tabs>
          <w:tab w:val="num" w:pos="5040"/>
        </w:tabs>
        <w:ind w:left="5040" w:hanging="360"/>
      </w:pPr>
      <w:rPr>
        <w:rFonts w:ascii="Wingdings 3" w:hAnsi="Wingdings 3" w:hint="default"/>
      </w:rPr>
    </w:lvl>
    <w:lvl w:ilvl="7" w:tplc="02306708" w:tentative="1">
      <w:start w:val="1"/>
      <w:numFmt w:val="bullet"/>
      <w:lvlText w:val=""/>
      <w:lvlJc w:val="left"/>
      <w:pPr>
        <w:tabs>
          <w:tab w:val="num" w:pos="5760"/>
        </w:tabs>
        <w:ind w:left="5760" w:hanging="360"/>
      </w:pPr>
      <w:rPr>
        <w:rFonts w:ascii="Wingdings 3" w:hAnsi="Wingdings 3" w:hint="default"/>
      </w:rPr>
    </w:lvl>
    <w:lvl w:ilvl="8" w:tplc="0AD6FF0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FB353A3"/>
    <w:multiLevelType w:val="hybridMultilevel"/>
    <w:tmpl w:val="BCC4584A"/>
    <w:lvl w:ilvl="0" w:tplc="FA66BC2C">
      <w:start w:val="1"/>
      <w:numFmt w:val="decimal"/>
      <w:lvlText w:val="%1."/>
      <w:lvlJc w:val="left"/>
      <w:pPr>
        <w:ind w:left="720" w:hanging="360"/>
      </w:pPr>
      <w:rPr>
        <w:i w:val="0"/>
        <w:iCs w:val="0"/>
      </w:rPr>
    </w:lvl>
    <w:lvl w:ilvl="1" w:tplc="BBD0BB80">
      <w:start w:val="1"/>
      <w:numFmt w:val="lowerLetter"/>
      <w:lvlText w:val="%2."/>
      <w:lvlJc w:val="left"/>
      <w:pPr>
        <w:ind w:left="1440" w:hanging="360"/>
      </w:pPr>
      <w:rPr>
        <w:i w:val="0"/>
        <w:iCs w:val="0"/>
      </w:rPr>
    </w:lvl>
    <w:lvl w:ilvl="2" w:tplc="A4560830">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6C"/>
    <w:rsid w:val="0011266C"/>
    <w:rsid w:val="0024501D"/>
    <w:rsid w:val="00374EA6"/>
    <w:rsid w:val="0038537E"/>
    <w:rsid w:val="005B0DF8"/>
    <w:rsid w:val="007E7ED9"/>
    <w:rsid w:val="00A20232"/>
    <w:rsid w:val="00BE68B8"/>
    <w:rsid w:val="00E56100"/>
    <w:rsid w:val="00F93D22"/>
    <w:rsid w:val="00F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0E87"/>
  <w15:chartTrackingRefBased/>
  <w15:docId w15:val="{C8B91519-A76B-4F8D-9B99-808146FF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66C"/>
    <w:rPr>
      <w:color w:val="0563C1" w:themeColor="hyperlink"/>
      <w:u w:val="single"/>
    </w:rPr>
  </w:style>
  <w:style w:type="character" w:styleId="UnresolvedMention">
    <w:name w:val="Unresolved Mention"/>
    <w:basedOn w:val="DefaultParagraphFont"/>
    <w:uiPriority w:val="99"/>
    <w:semiHidden/>
    <w:unhideWhenUsed/>
    <w:rsid w:val="0011266C"/>
    <w:rPr>
      <w:color w:val="605E5C"/>
      <w:shd w:val="clear" w:color="auto" w:fill="E1DFDD"/>
    </w:rPr>
  </w:style>
  <w:style w:type="paragraph" w:styleId="ListParagraph">
    <w:name w:val="List Paragraph"/>
    <w:basedOn w:val="Normal"/>
    <w:uiPriority w:val="34"/>
    <w:qFormat/>
    <w:rsid w:val="0011266C"/>
    <w:pPr>
      <w:ind w:left="720"/>
      <w:contextualSpacing/>
    </w:pPr>
  </w:style>
  <w:style w:type="character" w:styleId="FollowedHyperlink">
    <w:name w:val="FollowedHyperlink"/>
    <w:basedOn w:val="DefaultParagraphFont"/>
    <w:uiPriority w:val="99"/>
    <w:semiHidden/>
    <w:unhideWhenUsed/>
    <w:rsid w:val="00112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26652">
      <w:bodyDiv w:val="1"/>
      <w:marLeft w:val="0"/>
      <w:marRight w:val="0"/>
      <w:marTop w:val="0"/>
      <w:marBottom w:val="0"/>
      <w:divBdr>
        <w:top w:val="none" w:sz="0" w:space="0" w:color="auto"/>
        <w:left w:val="none" w:sz="0" w:space="0" w:color="auto"/>
        <w:bottom w:val="none" w:sz="0" w:space="0" w:color="auto"/>
        <w:right w:val="none" w:sz="0" w:space="0" w:color="auto"/>
      </w:divBdr>
      <w:divsChild>
        <w:div w:id="685641385">
          <w:marLeft w:val="547"/>
          <w:marRight w:val="0"/>
          <w:marTop w:val="200"/>
          <w:marBottom w:val="0"/>
          <w:divBdr>
            <w:top w:val="none" w:sz="0" w:space="0" w:color="auto"/>
            <w:left w:val="none" w:sz="0" w:space="0" w:color="auto"/>
            <w:bottom w:val="none" w:sz="0" w:space="0" w:color="auto"/>
            <w:right w:val="none" w:sz="0" w:space="0" w:color="auto"/>
          </w:divBdr>
        </w:div>
        <w:div w:id="662900496">
          <w:marLeft w:val="1166"/>
          <w:marRight w:val="0"/>
          <w:marTop w:val="200"/>
          <w:marBottom w:val="0"/>
          <w:divBdr>
            <w:top w:val="none" w:sz="0" w:space="0" w:color="auto"/>
            <w:left w:val="none" w:sz="0" w:space="0" w:color="auto"/>
            <w:bottom w:val="none" w:sz="0" w:space="0" w:color="auto"/>
            <w:right w:val="none" w:sz="0" w:space="0" w:color="auto"/>
          </w:divBdr>
        </w:div>
        <w:div w:id="1359624218">
          <w:marLeft w:val="1800"/>
          <w:marRight w:val="0"/>
          <w:marTop w:val="200"/>
          <w:marBottom w:val="0"/>
          <w:divBdr>
            <w:top w:val="none" w:sz="0" w:space="0" w:color="auto"/>
            <w:left w:val="none" w:sz="0" w:space="0" w:color="auto"/>
            <w:bottom w:val="none" w:sz="0" w:space="0" w:color="auto"/>
            <w:right w:val="none" w:sz="0" w:space="0" w:color="auto"/>
          </w:divBdr>
        </w:div>
        <w:div w:id="1425999003">
          <w:marLeft w:val="1166"/>
          <w:marRight w:val="0"/>
          <w:marTop w:val="200"/>
          <w:marBottom w:val="0"/>
          <w:divBdr>
            <w:top w:val="none" w:sz="0" w:space="0" w:color="auto"/>
            <w:left w:val="none" w:sz="0" w:space="0" w:color="auto"/>
            <w:bottom w:val="none" w:sz="0" w:space="0" w:color="auto"/>
            <w:right w:val="none" w:sz="0" w:space="0" w:color="auto"/>
          </w:divBdr>
        </w:div>
        <w:div w:id="994837989">
          <w:marLeft w:val="1166"/>
          <w:marRight w:val="0"/>
          <w:marTop w:val="200"/>
          <w:marBottom w:val="0"/>
          <w:divBdr>
            <w:top w:val="none" w:sz="0" w:space="0" w:color="auto"/>
            <w:left w:val="none" w:sz="0" w:space="0" w:color="auto"/>
            <w:bottom w:val="none" w:sz="0" w:space="0" w:color="auto"/>
            <w:right w:val="none" w:sz="0" w:space="0" w:color="auto"/>
          </w:divBdr>
        </w:div>
        <w:div w:id="1889876733">
          <w:marLeft w:val="1166"/>
          <w:marRight w:val="0"/>
          <w:marTop w:val="200"/>
          <w:marBottom w:val="0"/>
          <w:divBdr>
            <w:top w:val="none" w:sz="0" w:space="0" w:color="auto"/>
            <w:left w:val="none" w:sz="0" w:space="0" w:color="auto"/>
            <w:bottom w:val="none" w:sz="0" w:space="0" w:color="auto"/>
            <w:right w:val="none" w:sz="0" w:space="0" w:color="auto"/>
          </w:divBdr>
        </w:div>
        <w:div w:id="511454086">
          <w:marLeft w:val="1800"/>
          <w:marRight w:val="0"/>
          <w:marTop w:val="200"/>
          <w:marBottom w:val="0"/>
          <w:divBdr>
            <w:top w:val="none" w:sz="0" w:space="0" w:color="auto"/>
            <w:left w:val="none" w:sz="0" w:space="0" w:color="auto"/>
            <w:bottom w:val="none" w:sz="0" w:space="0" w:color="auto"/>
            <w:right w:val="none" w:sz="0" w:space="0" w:color="auto"/>
          </w:divBdr>
        </w:div>
        <w:div w:id="1926723637">
          <w:marLeft w:val="547"/>
          <w:marRight w:val="0"/>
          <w:marTop w:val="200"/>
          <w:marBottom w:val="0"/>
          <w:divBdr>
            <w:top w:val="none" w:sz="0" w:space="0" w:color="auto"/>
            <w:left w:val="none" w:sz="0" w:space="0" w:color="auto"/>
            <w:bottom w:val="none" w:sz="0" w:space="0" w:color="auto"/>
            <w:right w:val="none" w:sz="0" w:space="0" w:color="auto"/>
          </w:divBdr>
        </w:div>
        <w:div w:id="1500729372">
          <w:marLeft w:val="547"/>
          <w:marRight w:val="0"/>
          <w:marTop w:val="200"/>
          <w:marBottom w:val="0"/>
          <w:divBdr>
            <w:top w:val="none" w:sz="0" w:space="0" w:color="auto"/>
            <w:left w:val="none" w:sz="0" w:space="0" w:color="auto"/>
            <w:bottom w:val="none" w:sz="0" w:space="0" w:color="auto"/>
            <w:right w:val="none" w:sz="0" w:space="0" w:color="auto"/>
          </w:divBdr>
        </w:div>
        <w:div w:id="424812002">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rackitforward.com/site/ou-hcom-cleve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trackitforward.com/group/aacom-touch-si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com.org/become-a-doctor/resources-for-medical-students/cosgp/touch-program/touch-program-rul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Nidha</dc:creator>
  <cp:keywords/>
  <dc:description/>
  <cp:lastModifiedBy>Khan, Nidha</cp:lastModifiedBy>
  <cp:revision>2</cp:revision>
  <dcterms:created xsi:type="dcterms:W3CDTF">2021-08-25T12:24:00Z</dcterms:created>
  <dcterms:modified xsi:type="dcterms:W3CDTF">2021-08-25T12:55:00Z</dcterms:modified>
</cp:coreProperties>
</file>